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6A" w:rsidRDefault="0027676A" w:rsidP="0027676A">
      <w:pPr>
        <w:tabs>
          <w:tab w:val="left" w:pos="1060"/>
        </w:tabs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27676A">
        <w:rPr>
          <w:b/>
          <w:bCs/>
          <w:color w:val="000000"/>
          <w:sz w:val="28"/>
          <w:szCs w:val="28"/>
        </w:rPr>
        <w:t>Профилактическая работа</w:t>
      </w:r>
      <w:r w:rsidRPr="0027676A">
        <w:rPr>
          <w:b/>
          <w:bCs/>
          <w:color w:val="000000"/>
          <w:sz w:val="28"/>
          <w:szCs w:val="28"/>
        </w:rPr>
        <w:t xml:space="preserve"> </w:t>
      </w:r>
      <w:r w:rsidRPr="0027676A">
        <w:rPr>
          <w:rFonts w:ascii="Times New Roman CYR" w:hAnsi="Times New Roman CYR"/>
          <w:b/>
          <w:sz w:val="28"/>
          <w:szCs w:val="28"/>
        </w:rPr>
        <w:t>Управления Роскомнадзора по Ивановской области в 3 квартале 2019 года</w:t>
      </w:r>
    </w:p>
    <w:p w:rsidR="0027676A" w:rsidRPr="0027676A" w:rsidRDefault="0027676A" w:rsidP="0027676A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676A" w:rsidRPr="00BF0DDB" w:rsidRDefault="0027676A" w:rsidP="0027676A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BF0DDB">
        <w:rPr>
          <w:rFonts w:ascii="Times New Roman CYR" w:hAnsi="Times New Roman CYR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в 3 квартале 2019 года проводилась следующая профилактическая работа: </w:t>
      </w:r>
    </w:p>
    <w:p w:rsidR="0027676A" w:rsidRPr="00BF0DDB" w:rsidRDefault="0027676A" w:rsidP="0027676A">
      <w:pPr>
        <w:ind w:firstLine="567"/>
        <w:rPr>
          <w:b/>
          <w:bCs/>
          <w:color w:val="000000"/>
          <w:sz w:val="28"/>
          <w:szCs w:val="28"/>
        </w:rPr>
      </w:pPr>
    </w:p>
    <w:p w:rsidR="0027676A" w:rsidRPr="00BF0DDB" w:rsidRDefault="0027676A" w:rsidP="0027676A">
      <w:pPr>
        <w:ind w:firstLine="709"/>
        <w:jc w:val="both"/>
        <w:rPr>
          <w:b/>
          <w:i/>
          <w:sz w:val="28"/>
          <w:szCs w:val="28"/>
        </w:rPr>
      </w:pPr>
      <w:r w:rsidRPr="00BF0DDB">
        <w:rPr>
          <w:b/>
          <w:i/>
          <w:sz w:val="28"/>
          <w:szCs w:val="28"/>
        </w:rPr>
        <w:t>В сфере СМИ</w:t>
      </w:r>
    </w:p>
    <w:p w:rsidR="0027676A" w:rsidRPr="00BF0DDB" w:rsidRDefault="0027676A" w:rsidP="0027676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939"/>
        <w:gridCol w:w="2060"/>
        <w:gridCol w:w="1478"/>
        <w:gridCol w:w="1453"/>
        <w:gridCol w:w="2316"/>
      </w:tblGrid>
      <w:tr w:rsidR="0027676A" w:rsidRPr="00BF0DDB" w:rsidTr="00BA13B3">
        <w:trPr>
          <w:trHeight w:val="60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BF0DDB">
              <w:rPr>
                <w:rFonts w:eastAsia="Calibri"/>
                <w:i/>
                <w:lang w:eastAsia="en-US"/>
              </w:rPr>
              <w:t>Профилактические мероприятия для определенного круга лиц</w:t>
            </w:r>
          </w:p>
        </w:tc>
      </w:tr>
      <w:tr w:rsidR="0027676A" w:rsidRPr="00BF0DDB" w:rsidTr="00BA13B3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 xml:space="preserve">Проведение ежеквартально по одному плановому семинару с вещательными организациями и одному плановому семинару с представителями редакций СМИ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 xml:space="preserve">В течение года (в соответствии с утверждённым планом-графиком проведения семинаров </w:t>
            </w:r>
            <w:proofErr w:type="gramStart"/>
            <w:r w:rsidRPr="00BF0DDB">
              <w:rPr>
                <w:rFonts w:eastAsia="Calibri"/>
                <w:lang w:eastAsia="ru-RU"/>
              </w:rPr>
              <w:t>от</w:t>
            </w:r>
            <w:proofErr w:type="gramEnd"/>
            <w:r w:rsidRPr="00BF0DDB">
              <w:rPr>
                <w:rFonts w:eastAsia="Calibri"/>
                <w:lang w:eastAsia="ru-RU"/>
              </w:rPr>
              <w:t>)</w:t>
            </w:r>
          </w:p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27676A" w:rsidRPr="00BF0DDB" w:rsidRDefault="0027676A" w:rsidP="0027676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939"/>
        <w:gridCol w:w="2060"/>
        <w:gridCol w:w="1478"/>
        <w:gridCol w:w="1453"/>
        <w:gridCol w:w="2316"/>
      </w:tblGrid>
      <w:tr w:rsidR="0027676A" w:rsidRPr="00BF0DDB" w:rsidTr="00BA13B3">
        <w:trPr>
          <w:trHeight w:val="58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Ежеквартально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20</w:t>
            </w:r>
          </w:p>
        </w:tc>
      </w:tr>
      <w:tr w:rsidR="0027676A" w:rsidRPr="00BF0DDB" w:rsidTr="00BA13B3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 xml:space="preserve">Единый день консультаций представителей СМИ (учредителей, представителей редакций, представителей редакций </w:t>
            </w:r>
            <w:r w:rsidRPr="00BF0DDB">
              <w:rPr>
                <w:rFonts w:eastAsia="Calibri"/>
                <w:lang w:eastAsia="ru-RU"/>
              </w:rPr>
              <w:lastRenderedPageBreak/>
              <w:t>телерадиовещания, сетевых изданий)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lastRenderedPageBreak/>
              <w:t>Консультации. Разъяснение основных требований законодательства РФ о средствах массовой информации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Еженедельно по четвергам</w:t>
            </w:r>
          </w:p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24</w:t>
            </w:r>
          </w:p>
        </w:tc>
      </w:tr>
      <w:tr w:rsidR="0027676A" w:rsidRPr="00BF0DDB" w:rsidTr="00BA13B3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i/>
                <w:lang w:eastAsia="en-US"/>
              </w:rPr>
              <w:lastRenderedPageBreak/>
              <w:t>Адресные профилактические мероприятия</w:t>
            </w:r>
          </w:p>
        </w:tc>
      </w:tr>
      <w:tr w:rsidR="0027676A" w:rsidRPr="00BF0DDB" w:rsidTr="00BA13B3">
        <w:trPr>
          <w:trHeight w:val="67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ind w:left="-83" w:right="-16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 xml:space="preserve">Обеспечение вручения представителям редакций СМИ и вещателей писем с разъяснениями </w:t>
            </w:r>
            <w:proofErr w:type="spellStart"/>
            <w:proofErr w:type="gramStart"/>
            <w:r w:rsidRPr="00BF0DDB">
              <w:rPr>
                <w:rFonts w:eastAsia="Calibri"/>
                <w:lang w:eastAsia="ru-RU"/>
              </w:rPr>
              <w:t>законода-тельства</w:t>
            </w:r>
            <w:proofErr w:type="spellEnd"/>
            <w:proofErr w:type="gramEnd"/>
            <w:r w:rsidRPr="00BF0DDB">
              <w:rPr>
                <w:rFonts w:eastAsia="Calibri"/>
                <w:lang w:eastAsia="ru-RU"/>
              </w:rPr>
              <w:t xml:space="preserve">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Адресные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В течение года</w:t>
            </w:r>
          </w:p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68</w:t>
            </w:r>
          </w:p>
        </w:tc>
      </w:tr>
      <w:tr w:rsidR="0027676A" w:rsidRPr="00BF0DDB" w:rsidTr="00BA13B3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i/>
                <w:lang w:eastAsia="ru-RU"/>
              </w:rPr>
              <w:t>Профилактические мероприятия для неопределенного круга лиц</w:t>
            </w:r>
          </w:p>
        </w:tc>
      </w:tr>
      <w:tr w:rsidR="0027676A" w:rsidRPr="00BF0DDB" w:rsidTr="00BA13B3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0D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 xml:space="preserve">Размещение информации на </w:t>
            </w:r>
            <w:proofErr w:type="gramStart"/>
            <w:r w:rsidRPr="00BF0DDB">
              <w:rPr>
                <w:rFonts w:eastAsia="Calibri"/>
                <w:lang w:eastAsia="ru-RU"/>
              </w:rPr>
              <w:t>интернет-странице</w:t>
            </w:r>
            <w:proofErr w:type="gramEnd"/>
            <w:r w:rsidRPr="00BF0DDB">
              <w:rPr>
                <w:rFonts w:eastAsia="Calibri"/>
                <w:lang w:eastAsia="ru-RU"/>
              </w:rPr>
              <w:t xml:space="preserve"> Управления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Размещение актуальной информации, содержащей обязательные требования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A" w:rsidRPr="00BF0DDB" w:rsidRDefault="0027676A" w:rsidP="00BA13B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F0DDB">
              <w:rPr>
                <w:rFonts w:eastAsia="Calibri"/>
                <w:lang w:eastAsia="ru-RU"/>
              </w:rPr>
              <w:t>Актуализируется еженедельно</w:t>
            </w:r>
          </w:p>
        </w:tc>
      </w:tr>
    </w:tbl>
    <w:p w:rsidR="0027676A" w:rsidRDefault="0027676A" w:rsidP="0027676A">
      <w:pPr>
        <w:ind w:firstLine="709"/>
        <w:jc w:val="both"/>
        <w:rPr>
          <w:b/>
          <w:i/>
          <w:sz w:val="28"/>
          <w:szCs w:val="28"/>
        </w:rPr>
      </w:pPr>
    </w:p>
    <w:p w:rsidR="0027676A" w:rsidRPr="002B5848" w:rsidRDefault="0027676A" w:rsidP="0027676A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27676A" w:rsidRPr="00E227CF" w:rsidRDefault="0027676A" w:rsidP="0027676A">
      <w:pPr>
        <w:ind w:firstLine="709"/>
        <w:jc w:val="both"/>
        <w:rPr>
          <w:sz w:val="28"/>
          <w:szCs w:val="28"/>
        </w:rPr>
      </w:pPr>
      <w:r w:rsidRPr="00E227CF">
        <w:rPr>
          <w:sz w:val="28"/>
          <w:szCs w:val="28"/>
        </w:rPr>
        <w:t>(</w:t>
      </w:r>
      <w:proofErr w:type="gramStart"/>
      <w:r w:rsidRPr="00E227CF">
        <w:rPr>
          <w:sz w:val="28"/>
          <w:szCs w:val="28"/>
        </w:rPr>
        <w:t>Согласно пунктов</w:t>
      </w:r>
      <w:proofErr w:type="gramEnd"/>
      <w:r w:rsidRPr="00E227CF">
        <w:rPr>
          <w:sz w:val="28"/>
          <w:szCs w:val="28"/>
        </w:rPr>
        <w:t xml:space="preserve"> Плана профилактических мероприятий Управления на 2019 г.)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17</w:t>
      </w:r>
      <w:r>
        <w:rPr>
          <w:sz w:val="28"/>
          <w:szCs w:val="28"/>
        </w:rPr>
        <w:t>.</w:t>
      </w:r>
      <w:r w:rsidRPr="00A316F6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связи…</w:t>
      </w:r>
      <w:r>
        <w:rPr>
          <w:sz w:val="28"/>
          <w:szCs w:val="28"/>
        </w:rPr>
        <w:t>».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операторам</w:t>
      </w:r>
      <w:proofErr w:type="gramEnd"/>
      <w:r>
        <w:rPr>
          <w:sz w:val="28"/>
          <w:szCs w:val="28"/>
        </w:rPr>
        <w:t xml:space="preserve"> связи в 3 квартале и 9 месяцев 2019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профилактические Мероприятия с разъяснениями требований отдельных </w:t>
      </w:r>
      <w:r>
        <w:rPr>
          <w:sz w:val="28"/>
          <w:szCs w:val="28"/>
        </w:rPr>
        <w:lastRenderedPageBreak/>
        <w:t>нормативно-правовых актов в сфере связи и прочей актуальной информацией, в том числе: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Default="0027676A" w:rsidP="0027676A">
      <w:pPr>
        <w:pStyle w:val="a3"/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DED">
        <w:rPr>
          <w:sz w:val="28"/>
          <w:szCs w:val="28"/>
        </w:rPr>
        <w:t>19.02.2019 проведена рабочая встреча с руководителями филиала ФГУП «</w:t>
      </w:r>
      <w:r>
        <w:rPr>
          <w:sz w:val="28"/>
          <w:szCs w:val="28"/>
        </w:rPr>
        <w:t>РТРС» «</w:t>
      </w:r>
      <w:proofErr w:type="gramStart"/>
      <w:r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ОРТПЦ» на которой обсуждены следующие вопросы:</w:t>
      </w:r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27676A" w:rsidRDefault="0027676A" w:rsidP="0027676A">
      <w:pPr>
        <w:pStyle w:val="a3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01.03.2019 проведена рабочая встреча с оператором связи ООО «Антенна» и вещателем</w:t>
      </w:r>
      <w:r w:rsidRPr="00120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ТРК «БАРС»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определены пути решения вопросов присоединения сети ООО «Антенна» к вещателю с целью распространения местного регионального канала АО ТРК «БАРС».</w:t>
      </w:r>
    </w:p>
    <w:p w:rsidR="0027676A" w:rsidRDefault="0027676A" w:rsidP="0027676A">
      <w:pPr>
        <w:pStyle w:val="a3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19.03.2019 проведена рабочая встреча с операторами связи ИП. </w:t>
      </w:r>
      <w:proofErr w:type="gramStart"/>
      <w:r>
        <w:rPr>
          <w:sz w:val="28"/>
          <w:szCs w:val="28"/>
        </w:rPr>
        <w:t xml:space="preserve">Горностаевым А.Е., ИП Тихоновым А.А., ИП Игнатьевым, ООО «ТВ-Сервис», 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», ООО «ИРТЕК», 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», ООО «РЭСТА», ООО «Горизонт», ООО «Центр»</w:t>
      </w:r>
      <w:r w:rsidRPr="00445FD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обсуждены следующие вопросы:</w:t>
      </w:r>
      <w:proofErr w:type="gramEnd"/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27676A" w:rsidRDefault="0027676A" w:rsidP="0027676A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27676A" w:rsidRDefault="0027676A" w:rsidP="0027676A">
      <w:pPr>
        <w:pStyle w:val="a3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986">
        <w:rPr>
          <w:sz w:val="28"/>
          <w:szCs w:val="28"/>
        </w:rPr>
        <w:t xml:space="preserve">28.05.2019 проведена рабочая встреча с оператором связи ПАО «ВымпелКом» (Техническим директором укрупненной территории Ярославского кластера </w:t>
      </w:r>
      <w:proofErr w:type="spellStart"/>
      <w:r w:rsidRPr="008D3986">
        <w:rPr>
          <w:sz w:val="28"/>
          <w:szCs w:val="28"/>
        </w:rPr>
        <w:t>Красичковым</w:t>
      </w:r>
      <w:proofErr w:type="spellEnd"/>
      <w:r w:rsidRPr="008D3986">
        <w:rPr>
          <w:sz w:val="28"/>
          <w:szCs w:val="28"/>
        </w:rPr>
        <w:t xml:space="preserve"> И.А. и Территориальным управляющим укрупненной территории Ярославского кластера Бирюковым В.А.) на которой обсуждены следующие вопросы: Причины роста нарушений ПАО «ВымпелКом» Порядка использования радиочастотного спектра и пути улучшения ситуации.</w:t>
      </w:r>
    </w:p>
    <w:p w:rsidR="0027676A" w:rsidRPr="00761AB1" w:rsidRDefault="0027676A" w:rsidP="0027676A">
      <w:pPr>
        <w:pStyle w:val="a3"/>
        <w:suppressAutoHyphens w:val="0"/>
        <w:ind w:left="0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5. 04.09.2019 проведена рабочая встреча с операторами связи ПАО «ВымпелКом», ПАО «МТС», ПАО «МегаФон», ПАО «Ростелеком», ООО «Т</w:t>
      </w:r>
      <w:proofErr w:type="gramStart"/>
      <w:r w:rsidRPr="00761AB1">
        <w:rPr>
          <w:sz w:val="28"/>
          <w:szCs w:val="28"/>
        </w:rPr>
        <w:t>2</w:t>
      </w:r>
      <w:proofErr w:type="gramEnd"/>
      <w:r w:rsidRPr="00761AB1">
        <w:rPr>
          <w:sz w:val="28"/>
          <w:szCs w:val="28"/>
        </w:rPr>
        <w:t xml:space="preserve"> </w:t>
      </w:r>
      <w:proofErr w:type="spellStart"/>
      <w:r w:rsidRPr="00761AB1">
        <w:rPr>
          <w:sz w:val="28"/>
          <w:szCs w:val="28"/>
        </w:rPr>
        <w:t>Мобайл</w:t>
      </w:r>
      <w:proofErr w:type="spellEnd"/>
      <w:r w:rsidRPr="00761AB1">
        <w:rPr>
          <w:sz w:val="28"/>
          <w:szCs w:val="28"/>
        </w:rPr>
        <w:t>» по вопросу обеспечения бесперебойной работы каналов связи на избирательных участках в период подготовки и проведения выборов в единый день голосования - 09.09.2019 г.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i/>
          <w:sz w:val="28"/>
          <w:szCs w:val="28"/>
        </w:rPr>
        <w:t>П.17.2</w:t>
      </w:r>
      <w:r w:rsidRPr="00761AB1">
        <w:rPr>
          <w:sz w:val="28"/>
          <w:szCs w:val="28"/>
        </w:rPr>
        <w:t xml:space="preserve"> Проведены консультации руководителей организаций: ПАО «МТС», ООО «Антенна» по выполнению обязательных требований в области связи, ПАО «ВымпелКом».</w:t>
      </w:r>
    </w:p>
    <w:p w:rsidR="0027676A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lastRenderedPageBreak/>
        <w:t xml:space="preserve">          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Всего в течение 6 месяцев 2019 г. выдано 30 памяток операторам связи и пользователям радиоэлектронных средств. Пользователям радиочастотным спектром 10.01.2019</w:t>
      </w:r>
      <w:r>
        <w:rPr>
          <w:sz w:val="28"/>
          <w:szCs w:val="28"/>
        </w:rPr>
        <w:t xml:space="preserve"> исх. №39-2/37 направлены информационные письма о предоставлении государственных услуг по регистрации РЭС и ВЧУ в электронной форме.  </w:t>
      </w:r>
    </w:p>
    <w:p w:rsidR="0027676A" w:rsidRDefault="0027676A" w:rsidP="0027676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Pr="00A316F6">
        <w:rPr>
          <w:sz w:val="28"/>
          <w:szCs w:val="28"/>
        </w:rPr>
        <w:t>Проведены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5 профилактических писем:</w:t>
      </w:r>
      <w:proofErr w:type="gramEnd"/>
    </w:p>
    <w:p w:rsidR="0027676A" w:rsidRPr="008D3986" w:rsidRDefault="0027676A" w:rsidP="0027676A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22.01.2019 исх.№154-2/37, </w:t>
      </w:r>
      <w:r w:rsidRPr="008D3986">
        <w:rPr>
          <w:sz w:val="28"/>
          <w:szCs w:val="28"/>
        </w:rPr>
        <w:t xml:space="preserve">15.04.2019 №1730-2/37 операторам связи направлены для руководства и использования в работе разъяснения порядка представления сведений в </w:t>
      </w:r>
      <w:proofErr w:type="spellStart"/>
      <w:r w:rsidRPr="008D3986">
        <w:rPr>
          <w:sz w:val="28"/>
          <w:szCs w:val="28"/>
        </w:rPr>
        <w:t>Россвязь</w:t>
      </w:r>
      <w:proofErr w:type="spellEnd"/>
      <w:r w:rsidRPr="008D3986">
        <w:rPr>
          <w:sz w:val="28"/>
          <w:szCs w:val="28"/>
        </w:rPr>
        <w:t xml:space="preserve"> о технических характеристиках и перспективах развития сетей связи (</w:t>
      </w:r>
      <w:proofErr w:type="gramStart"/>
      <w:r w:rsidRPr="008D3986">
        <w:rPr>
          <w:sz w:val="28"/>
          <w:szCs w:val="28"/>
        </w:rPr>
        <w:t>согласно требований</w:t>
      </w:r>
      <w:proofErr w:type="gramEnd"/>
      <w:r w:rsidRPr="008D3986">
        <w:rPr>
          <w:sz w:val="28"/>
          <w:szCs w:val="28"/>
        </w:rPr>
        <w:t xml:space="preserve"> Приказа Минкомсвязи от 16.03.2009 №258).                                                                                                                                                                                                      </w:t>
      </w:r>
    </w:p>
    <w:p w:rsidR="0027676A" w:rsidRPr="00761AB1" w:rsidRDefault="0027676A" w:rsidP="0027676A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14.01.2019 исх.№84-2/37, 15.04.2019 №1731-2/37, 16.07.2019 №3219-2/37 операторам связи направлены для руководства и использования в работе разъяснения о порядке проведения отчислений в </w:t>
      </w:r>
      <w:proofErr w:type="spellStart"/>
      <w:r w:rsidRPr="00761AB1">
        <w:rPr>
          <w:sz w:val="28"/>
          <w:szCs w:val="28"/>
        </w:rPr>
        <w:t>Россвязь</w:t>
      </w:r>
      <w:proofErr w:type="spellEnd"/>
      <w:r w:rsidRPr="00761AB1">
        <w:rPr>
          <w:sz w:val="28"/>
          <w:szCs w:val="28"/>
        </w:rPr>
        <w:t xml:space="preserve"> от полученных доходов в сфере связи.  </w:t>
      </w:r>
    </w:p>
    <w:p w:rsidR="0027676A" w:rsidRDefault="0027676A" w:rsidP="0027676A">
      <w:pPr>
        <w:pStyle w:val="a3"/>
        <w:suppressAutoHyphens w:val="0"/>
        <w:ind w:left="709" w:hanging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3. 14.01.2019 исх. №83-2/37, 16.07.2019 №3220-2/37 операторам связи направлено для руководства и   использования в работе разъяснение о</w:t>
      </w:r>
      <w:r>
        <w:rPr>
          <w:sz w:val="28"/>
          <w:szCs w:val="28"/>
        </w:rPr>
        <w:t xml:space="preserve"> порядке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базе расчета обязательных отчислений (неналоговых пла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ежей) в резерв универсального обслуживания.  (Рассылка в адрес 62 операторов связи).  </w:t>
      </w:r>
    </w:p>
    <w:p w:rsidR="0027676A" w:rsidRDefault="0027676A" w:rsidP="0027676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Разъяснены обязательные требования операторам связи зарегистрированным на территории региона о соблюдении требований Приказа Минкомсвязи от 16.03.2009 №258 (работа проведена с 3 операторами связи (ПАО «МТС», ПАО «ВымпелКом», ООО «Т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>», ПАО «Ростелеком») при приеме документов на регистрацию сооружений связи).</w:t>
      </w:r>
    </w:p>
    <w:p w:rsidR="0027676A" w:rsidRPr="008F6EF3" w:rsidRDefault="0027676A" w:rsidP="0027676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>Разъяснены обязательные требования в части размещения технических средств СОРМ на сетях связи оператора связи</w:t>
      </w:r>
      <w:r w:rsidRPr="008F6EF3">
        <w:rPr>
          <w:b/>
          <w:sz w:val="28"/>
          <w:szCs w:val="28"/>
        </w:rPr>
        <w:t xml:space="preserve">: </w:t>
      </w:r>
      <w:r w:rsidRPr="008F6EF3">
        <w:rPr>
          <w:sz w:val="28"/>
          <w:szCs w:val="28"/>
        </w:rPr>
        <w:t>ПАО «МТС» (Исх. №1025-2/37 от 13.03.2019).</w:t>
      </w:r>
    </w:p>
    <w:p w:rsidR="0027676A" w:rsidRPr="008F6EF3" w:rsidRDefault="0027676A" w:rsidP="002767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F6EF3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8F6EF3">
        <w:rPr>
          <w:sz w:val="28"/>
          <w:szCs w:val="28"/>
        </w:rPr>
        <w:t>Wi-Fi</w:t>
      </w:r>
      <w:proofErr w:type="spellEnd"/>
      <w:r w:rsidRPr="008F6EF3">
        <w:rPr>
          <w:sz w:val="28"/>
          <w:szCs w:val="28"/>
        </w:rPr>
        <w:t xml:space="preserve"> точек доступа (в том числе для клиентов юр. лиц) – Направлены информационные </w:t>
      </w:r>
      <w:r w:rsidRPr="008F6EF3">
        <w:rPr>
          <w:sz w:val="28"/>
          <w:szCs w:val="28"/>
        </w:rPr>
        <w:lastRenderedPageBreak/>
        <w:t xml:space="preserve">письма операторам связи </w:t>
      </w:r>
      <w:proofErr w:type="gramStart"/>
      <w:r w:rsidRPr="008F6EF3">
        <w:rPr>
          <w:sz w:val="28"/>
          <w:szCs w:val="28"/>
        </w:rPr>
        <w:t>о</w:t>
      </w:r>
      <w:proofErr w:type="gramEnd"/>
      <w:r w:rsidRPr="008F6EF3">
        <w:rPr>
          <w:sz w:val="28"/>
          <w:szCs w:val="28"/>
        </w:rPr>
        <w:t xml:space="preserve"> организации абонентами </w:t>
      </w:r>
      <w:r w:rsidRPr="008F6EF3">
        <w:rPr>
          <w:sz w:val="28"/>
          <w:szCs w:val="28"/>
          <w:lang w:val="en-US"/>
        </w:rPr>
        <w:t>Wi</w:t>
      </w:r>
      <w:r w:rsidRPr="008F6EF3">
        <w:rPr>
          <w:sz w:val="28"/>
          <w:szCs w:val="28"/>
        </w:rPr>
        <w:t xml:space="preserve"> </w:t>
      </w:r>
      <w:r w:rsidRPr="008F6EF3">
        <w:rPr>
          <w:sz w:val="28"/>
          <w:szCs w:val="28"/>
          <w:lang w:val="en-US"/>
        </w:rPr>
        <w:t>Fi</w:t>
      </w:r>
      <w:r w:rsidRPr="008F6EF3">
        <w:rPr>
          <w:sz w:val="28"/>
          <w:szCs w:val="28"/>
        </w:rPr>
        <w:t xml:space="preserve"> зон и не осуществлении идентификации пользователей: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16.01.2019 исх. № 91-3/37 - ООО "</w:t>
      </w:r>
      <w:proofErr w:type="spellStart"/>
      <w:r w:rsidRPr="00761AB1">
        <w:rPr>
          <w:sz w:val="28"/>
          <w:szCs w:val="28"/>
        </w:rPr>
        <w:t>Интеркомтел</w:t>
      </w:r>
      <w:proofErr w:type="spellEnd"/>
      <w:r w:rsidRPr="00761AB1">
        <w:rPr>
          <w:sz w:val="28"/>
          <w:szCs w:val="28"/>
        </w:rPr>
        <w:t>",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21.01.2019 исх. № 140-3/37 - ООО "</w:t>
      </w:r>
      <w:proofErr w:type="spellStart"/>
      <w:r w:rsidRPr="00761AB1">
        <w:rPr>
          <w:sz w:val="28"/>
          <w:szCs w:val="28"/>
        </w:rPr>
        <w:t>Интеркомтел</w:t>
      </w:r>
      <w:proofErr w:type="spellEnd"/>
      <w:r w:rsidRPr="00761AB1">
        <w:rPr>
          <w:sz w:val="28"/>
          <w:szCs w:val="28"/>
        </w:rPr>
        <w:t>",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30.04.2019 исх. №1991-2/37 - ООО "</w:t>
      </w:r>
      <w:proofErr w:type="spellStart"/>
      <w:r w:rsidRPr="00761AB1">
        <w:rPr>
          <w:sz w:val="28"/>
          <w:szCs w:val="28"/>
        </w:rPr>
        <w:t>Интеркомтел</w:t>
      </w:r>
      <w:proofErr w:type="spellEnd"/>
      <w:r w:rsidRPr="00761AB1">
        <w:rPr>
          <w:sz w:val="28"/>
          <w:szCs w:val="28"/>
        </w:rPr>
        <w:t>";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16.09.2019 исх. № 4269-2/37 - ООО "</w:t>
      </w:r>
      <w:proofErr w:type="spellStart"/>
      <w:r w:rsidRPr="00761AB1">
        <w:rPr>
          <w:sz w:val="28"/>
          <w:szCs w:val="28"/>
        </w:rPr>
        <w:t>Интеркомтел</w:t>
      </w:r>
      <w:proofErr w:type="spellEnd"/>
      <w:r w:rsidRPr="00761AB1">
        <w:rPr>
          <w:sz w:val="28"/>
          <w:szCs w:val="28"/>
        </w:rPr>
        <w:t>",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25.03.2019 исх. № 1316-2/37 - ПАО "Ростелеком",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16.09.2019 исх. № 4270-2/37 - ПАО "Ростелеком",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25.03.2019 исх. № 1315-2/37-  ООО "МТТ Коннект" - "Иваново".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>04.09.2019 исх. № 4100-2/37-  ООО "МТТ Коннект" - "Иваново".</w:t>
      </w:r>
    </w:p>
    <w:p w:rsidR="0027676A" w:rsidRPr="00E77C6A" w:rsidRDefault="0027676A" w:rsidP="0027676A">
      <w:pPr>
        <w:ind w:firstLine="709"/>
        <w:rPr>
          <w:sz w:val="28"/>
          <w:szCs w:val="28"/>
        </w:rPr>
      </w:pPr>
      <w:r w:rsidRPr="00761AB1">
        <w:rPr>
          <w:sz w:val="28"/>
          <w:szCs w:val="28"/>
        </w:rPr>
        <w:t xml:space="preserve">25.03.2019 исх. № 1314-2/37- АО «Компания </w:t>
      </w:r>
      <w:proofErr w:type="spellStart"/>
      <w:r w:rsidRPr="00761AB1">
        <w:rPr>
          <w:sz w:val="28"/>
          <w:szCs w:val="28"/>
        </w:rPr>
        <w:t>ТрансТелеком</w:t>
      </w:r>
      <w:proofErr w:type="spellEnd"/>
      <w:r w:rsidRPr="00761AB1">
        <w:rPr>
          <w:sz w:val="28"/>
          <w:szCs w:val="28"/>
        </w:rPr>
        <w:t>»</w:t>
      </w:r>
      <w:r w:rsidRPr="00E77C6A">
        <w:rPr>
          <w:sz w:val="28"/>
          <w:szCs w:val="28"/>
        </w:rPr>
        <w:t xml:space="preserve"> «Макрорегион Север»;</w:t>
      </w:r>
    </w:p>
    <w:p w:rsidR="0027676A" w:rsidRPr="00E77C6A" w:rsidRDefault="0027676A" w:rsidP="0027676A">
      <w:pPr>
        <w:ind w:firstLine="709"/>
        <w:rPr>
          <w:sz w:val="28"/>
          <w:szCs w:val="28"/>
        </w:rPr>
      </w:pPr>
      <w:r w:rsidRPr="00E77C6A">
        <w:rPr>
          <w:sz w:val="28"/>
          <w:szCs w:val="28"/>
        </w:rPr>
        <w:t xml:space="preserve">16.05.2019 исх. № 2208-2/37 –АО «Компания </w:t>
      </w:r>
      <w:proofErr w:type="spellStart"/>
      <w:r w:rsidRPr="00E77C6A">
        <w:rPr>
          <w:sz w:val="28"/>
          <w:szCs w:val="28"/>
        </w:rPr>
        <w:t>ТрансТелеком</w:t>
      </w:r>
      <w:proofErr w:type="spellEnd"/>
      <w:r w:rsidRPr="00E77C6A">
        <w:rPr>
          <w:sz w:val="28"/>
          <w:szCs w:val="28"/>
        </w:rPr>
        <w:t>» «Макрорегион Север».</w:t>
      </w:r>
    </w:p>
    <w:p w:rsidR="0027676A" w:rsidRPr="002F6743" w:rsidRDefault="0027676A" w:rsidP="0027676A">
      <w:pPr>
        <w:ind w:firstLine="709"/>
        <w:jc w:val="both"/>
        <w:rPr>
          <w:b/>
          <w:sz w:val="28"/>
          <w:szCs w:val="28"/>
        </w:rPr>
      </w:pPr>
      <w:r w:rsidRPr="002F6743">
        <w:rPr>
          <w:sz w:val="28"/>
          <w:szCs w:val="28"/>
        </w:rPr>
        <w:t>Разъяснены возможности отслеживания информации в личном кабинете АС Ревизор</w:t>
      </w:r>
      <w:r w:rsidRPr="002F6743">
        <w:rPr>
          <w:b/>
          <w:sz w:val="28"/>
          <w:szCs w:val="28"/>
        </w:rPr>
        <w:t>.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>Проведена профилактическая работа с оператором связ</w:t>
      </w:r>
      <w:proofErr w:type="gramStart"/>
      <w:r w:rsidRPr="008F6EF3">
        <w:rPr>
          <w:sz w:val="28"/>
          <w:szCs w:val="28"/>
        </w:rPr>
        <w:t>и ООО</w:t>
      </w:r>
      <w:proofErr w:type="gramEnd"/>
      <w:r w:rsidRPr="008F6EF3">
        <w:rPr>
          <w:sz w:val="28"/>
          <w:szCs w:val="28"/>
        </w:rPr>
        <w:t xml:space="preserve"> «Спектр», по избыточному блокированию ресурсов сети Интернет. Обращено внимание оператора связи оказывающего услуги связи по доступу в сеть «Интернет» на недопустимость избыточного блокирования </w:t>
      </w:r>
      <w:r>
        <w:rPr>
          <w:sz w:val="28"/>
          <w:szCs w:val="28"/>
        </w:rPr>
        <w:t>(</w:t>
      </w:r>
      <w:r w:rsidRPr="008F6EF3">
        <w:rPr>
          <w:sz w:val="28"/>
          <w:szCs w:val="28"/>
        </w:rPr>
        <w:t>24.01.2019 направлено письмо № 196-2/37</w:t>
      </w:r>
      <w:r>
        <w:rPr>
          <w:sz w:val="28"/>
          <w:szCs w:val="28"/>
        </w:rPr>
        <w:t>).</w:t>
      </w:r>
      <w:r w:rsidRPr="008F6EF3">
        <w:rPr>
          <w:sz w:val="28"/>
          <w:szCs w:val="28"/>
        </w:rPr>
        <w:t xml:space="preserve"> </w:t>
      </w:r>
    </w:p>
    <w:p w:rsidR="0027676A" w:rsidRDefault="0027676A" w:rsidP="0027676A">
      <w:pPr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Разъяснение обязательных требований в части отслеживания путей реализации сим-карт, в том числе объявления в сети Интернет.</w:t>
      </w:r>
    </w:p>
    <w:p w:rsidR="0027676A" w:rsidRDefault="0027676A" w:rsidP="002767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29.03.2019 проведена профилактическая беседа с ИП Захаровой А.Е. </w:t>
      </w:r>
      <w:proofErr w:type="spellStart"/>
      <w:r>
        <w:rPr>
          <w:sz w:val="28"/>
          <w:szCs w:val="28"/>
        </w:rPr>
        <w:t>субдиллером</w:t>
      </w:r>
      <w:proofErr w:type="spellEnd"/>
      <w:r>
        <w:rPr>
          <w:sz w:val="28"/>
          <w:szCs w:val="28"/>
        </w:rPr>
        <w:t xml:space="preserve"> по продаже сим-карт.</w:t>
      </w:r>
    </w:p>
    <w:p w:rsidR="0027676A" w:rsidRDefault="0027676A" w:rsidP="002767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профилактическая работа с операторами связи не эффективно </w:t>
      </w:r>
      <w:proofErr w:type="gramStart"/>
      <w:r>
        <w:rPr>
          <w:sz w:val="28"/>
          <w:szCs w:val="28"/>
        </w:rPr>
        <w:t>блокирующих</w:t>
      </w:r>
      <w:proofErr w:type="gramEnd"/>
      <w:r>
        <w:rPr>
          <w:sz w:val="28"/>
          <w:szCs w:val="28"/>
        </w:rPr>
        <w:t xml:space="preserve"> запрещенные ресурсы: 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Pr="00761AB1" w:rsidRDefault="0027676A" w:rsidP="0027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61AB1">
        <w:rPr>
          <w:sz w:val="28"/>
          <w:szCs w:val="28"/>
        </w:rPr>
        <w:t xml:space="preserve">25.01.2019 исх.210-2/37 –ООО «Дата </w:t>
      </w:r>
      <w:proofErr w:type="spellStart"/>
      <w:r w:rsidRPr="00761AB1">
        <w:rPr>
          <w:sz w:val="28"/>
          <w:szCs w:val="28"/>
        </w:rPr>
        <w:t>Лайн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26.02.2019 исх.759-2/37 –ООО «Дата </w:t>
      </w:r>
      <w:proofErr w:type="spellStart"/>
      <w:r w:rsidRPr="00761AB1">
        <w:rPr>
          <w:sz w:val="28"/>
          <w:szCs w:val="28"/>
        </w:rPr>
        <w:t>Лайн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25.01.2019 исх.225-2/37 –ИП Тихонов А.А.;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26.02.2019 исх.758-2/37–ИП Тихонов А.А.;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25.01.2019 исх.207-2/37 –ООО «</w:t>
      </w:r>
      <w:proofErr w:type="spellStart"/>
      <w:r w:rsidRPr="00761AB1">
        <w:rPr>
          <w:sz w:val="28"/>
          <w:szCs w:val="28"/>
        </w:rPr>
        <w:t>Иртэк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26.02.2019 исх.750-2/37 –ООО «</w:t>
      </w:r>
      <w:proofErr w:type="spellStart"/>
      <w:r w:rsidRPr="00761AB1">
        <w:rPr>
          <w:sz w:val="28"/>
          <w:szCs w:val="28"/>
        </w:rPr>
        <w:t>Иртэк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25.01.2019 исх.224-2/37-ФГБО «ИВГУ»;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          26.02.2019 исх.757-2/37 – ФГБО «ИВГУ»;</w:t>
      </w:r>
    </w:p>
    <w:p w:rsidR="0027676A" w:rsidRPr="00761AB1" w:rsidRDefault="0027676A" w:rsidP="0027676A">
      <w:pPr>
        <w:jc w:val="both"/>
        <w:rPr>
          <w:sz w:val="28"/>
          <w:szCs w:val="28"/>
        </w:rPr>
      </w:pPr>
      <w:r w:rsidRPr="00761AB1">
        <w:rPr>
          <w:sz w:val="28"/>
          <w:szCs w:val="28"/>
        </w:rPr>
        <w:lastRenderedPageBreak/>
        <w:t xml:space="preserve">                26.03.2019 исх. № 1359-2/37 –АО «</w:t>
      </w:r>
      <w:proofErr w:type="spellStart"/>
      <w:r w:rsidRPr="00761AB1">
        <w:rPr>
          <w:sz w:val="28"/>
          <w:szCs w:val="28"/>
        </w:rPr>
        <w:t>ТрансТелеком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ind w:firstLine="709"/>
        <w:rPr>
          <w:sz w:val="28"/>
          <w:szCs w:val="28"/>
        </w:rPr>
      </w:pPr>
      <w:r w:rsidRPr="00761AB1">
        <w:rPr>
          <w:sz w:val="28"/>
          <w:szCs w:val="28"/>
        </w:rPr>
        <w:t xml:space="preserve">      06.06.2019 исх. №2558-2/37 –ПАО «Ростелеком»; 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01.07.2019 № 3041-2/37- АО «</w:t>
      </w:r>
      <w:proofErr w:type="spellStart"/>
      <w:r w:rsidRPr="00761AB1">
        <w:rPr>
          <w:sz w:val="28"/>
          <w:szCs w:val="28"/>
        </w:rPr>
        <w:t>МаксимаТелеком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23.07.2019 № 3301-2/37- ООО «</w:t>
      </w:r>
      <w:proofErr w:type="spellStart"/>
      <w:r w:rsidRPr="00761AB1">
        <w:rPr>
          <w:sz w:val="28"/>
          <w:szCs w:val="28"/>
        </w:rPr>
        <w:t>Иртэк</w:t>
      </w:r>
      <w:proofErr w:type="spellEnd"/>
      <w:r w:rsidRPr="00761AB1">
        <w:rPr>
          <w:sz w:val="28"/>
          <w:szCs w:val="28"/>
        </w:rPr>
        <w:t>»;</w:t>
      </w:r>
    </w:p>
    <w:p w:rsidR="0027676A" w:rsidRPr="00761AB1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30.08.2019 № 4018-2/37- ООО «Т</w:t>
      </w:r>
      <w:proofErr w:type="gramStart"/>
      <w:r w:rsidRPr="00761AB1">
        <w:rPr>
          <w:sz w:val="28"/>
          <w:szCs w:val="28"/>
        </w:rPr>
        <w:t>2</w:t>
      </w:r>
      <w:proofErr w:type="gramEnd"/>
      <w:r w:rsidRPr="00761AB1">
        <w:rPr>
          <w:sz w:val="28"/>
          <w:szCs w:val="28"/>
        </w:rPr>
        <w:t xml:space="preserve"> </w:t>
      </w:r>
      <w:proofErr w:type="spellStart"/>
      <w:r w:rsidRPr="00761AB1">
        <w:rPr>
          <w:sz w:val="28"/>
          <w:szCs w:val="28"/>
        </w:rPr>
        <w:t>Мобайл</w:t>
      </w:r>
      <w:proofErr w:type="spellEnd"/>
      <w:r w:rsidRPr="00761AB1">
        <w:rPr>
          <w:sz w:val="28"/>
          <w:szCs w:val="28"/>
        </w:rPr>
        <w:t>»;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 w:rsidRPr="00761AB1">
        <w:rPr>
          <w:sz w:val="28"/>
          <w:szCs w:val="28"/>
        </w:rPr>
        <w:t xml:space="preserve">      04.09.2019 № 4102-2/37- ООО «Дата-</w:t>
      </w:r>
      <w:proofErr w:type="spellStart"/>
      <w:r w:rsidRPr="00761AB1">
        <w:rPr>
          <w:sz w:val="28"/>
          <w:szCs w:val="28"/>
        </w:rPr>
        <w:t>Лайн</w:t>
      </w:r>
      <w:proofErr w:type="spellEnd"/>
      <w:r w:rsidRPr="00761AB1">
        <w:rPr>
          <w:sz w:val="28"/>
          <w:szCs w:val="28"/>
        </w:rPr>
        <w:t>».</w:t>
      </w:r>
    </w:p>
    <w:p w:rsidR="0027676A" w:rsidRPr="00F57B1D" w:rsidRDefault="0027676A" w:rsidP="0027676A">
      <w:pPr>
        <w:ind w:left="1500"/>
        <w:jc w:val="both"/>
        <w:rPr>
          <w:sz w:val="28"/>
          <w:szCs w:val="28"/>
          <w:highlight w:val="yellow"/>
        </w:rPr>
      </w:pPr>
    </w:p>
    <w:p w:rsidR="0027676A" w:rsidRDefault="0027676A" w:rsidP="0027676A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Операторам связи направлены информационные письма о результатах контроля блокирования запрещенных ресурсов и не удовлетворительном соблюдении договорных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исоединяющим оператором.</w:t>
      </w:r>
    </w:p>
    <w:p w:rsidR="0027676A" w:rsidRDefault="0027676A" w:rsidP="0027676A">
      <w:pPr>
        <w:ind w:firstLine="709"/>
        <w:jc w:val="both"/>
        <w:rPr>
          <w:sz w:val="28"/>
          <w:szCs w:val="28"/>
          <w:highlight w:val="green"/>
        </w:rPr>
      </w:pP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 w:rsidRPr="00C23B56">
        <w:rPr>
          <w:i/>
        </w:rPr>
        <w:t xml:space="preserve"> </w:t>
      </w:r>
      <w:r>
        <w:rPr>
          <w:sz w:val="28"/>
          <w:szCs w:val="28"/>
        </w:rPr>
        <w:t>Разъяснение обязательных требований при использовании радиочастотного спектра в целях предупреждения нарушений.</w:t>
      </w:r>
    </w:p>
    <w:p w:rsidR="0027676A" w:rsidRDefault="0027676A" w:rsidP="0027676A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        </w:t>
      </w:r>
    </w:p>
    <w:p w:rsidR="0027676A" w:rsidRDefault="0027676A" w:rsidP="002767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3-м квартале, 9 месяцев 2019 г. при проведении мероприятий по контролю </w:t>
      </w:r>
      <w:proofErr w:type="gramStart"/>
      <w:r>
        <w:rPr>
          <w:sz w:val="28"/>
          <w:szCs w:val="28"/>
        </w:rPr>
        <w:t>разъяснены</w:t>
      </w:r>
      <w:proofErr w:type="gramEnd"/>
      <w:r>
        <w:rPr>
          <w:sz w:val="28"/>
          <w:szCs w:val="28"/>
        </w:rPr>
        <w:t xml:space="preserve"> юридическим лицам: ПАО «МТС», ООО «Т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 xml:space="preserve">», ПАО «ВымпелКом», </w:t>
      </w:r>
      <w:r w:rsidRPr="008D3986">
        <w:rPr>
          <w:sz w:val="28"/>
          <w:szCs w:val="28"/>
        </w:rPr>
        <w:t>ПАО «</w:t>
      </w:r>
      <w:r>
        <w:rPr>
          <w:sz w:val="28"/>
          <w:szCs w:val="28"/>
        </w:rPr>
        <w:t>МегаФон</w:t>
      </w:r>
      <w:r w:rsidRPr="008D39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обязательные требования при использовании радиочастотного спектра в целях предупреждения нарушений.</w:t>
      </w:r>
    </w:p>
    <w:p w:rsidR="0027676A" w:rsidRDefault="0027676A" w:rsidP="0027676A">
      <w:pPr>
        <w:jc w:val="both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Адресные профилактические мероприятия </w:t>
      </w:r>
    </w:p>
    <w:p w:rsidR="0027676A" w:rsidRDefault="0027676A" w:rsidP="0027676A">
      <w:pPr>
        <w:jc w:val="both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 w:rsidRPr="00DA619D">
        <w:rPr>
          <w:b/>
          <w:i/>
          <w:sz w:val="28"/>
          <w:szCs w:val="28"/>
        </w:rPr>
        <w:t xml:space="preserve">П. </w:t>
      </w:r>
      <w:r w:rsidRPr="003B2A8C">
        <w:rPr>
          <w:b/>
          <w:i/>
          <w:sz w:val="28"/>
          <w:szCs w:val="28"/>
        </w:rPr>
        <w:t>18</w:t>
      </w:r>
      <w:r w:rsidRPr="003B2A8C">
        <w:rPr>
          <w:i/>
          <w:sz w:val="28"/>
          <w:szCs w:val="28"/>
        </w:rPr>
        <w:t xml:space="preserve"> Выдача предостережений </w:t>
      </w:r>
      <w:r w:rsidRPr="003B2A8C">
        <w:rPr>
          <w:i/>
          <w:color w:val="000000"/>
          <w:sz w:val="28"/>
          <w:szCs w:val="28"/>
        </w:rPr>
        <w:t>о недопустимости нарушения обязательных требований</w:t>
      </w:r>
      <w:r w:rsidRPr="003B2A8C">
        <w:rPr>
          <w:i/>
          <w:sz w:val="28"/>
          <w:szCs w:val="28"/>
        </w:rPr>
        <w:t xml:space="preserve"> с указанием конкретных действий (бездействий) юридич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ских лиц, индивидуальных предпринимателей которые могут привести к наруш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нию обязательных требований.</w:t>
      </w:r>
      <w:r>
        <w:rPr>
          <w:sz w:val="28"/>
          <w:szCs w:val="28"/>
        </w:rPr>
        <w:t xml:space="preserve"> 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</w:t>
      </w:r>
      <w:r w:rsidRPr="001D1908">
        <w:rPr>
          <w:sz w:val="28"/>
          <w:szCs w:val="28"/>
        </w:rPr>
        <w:t xml:space="preserve">ны Предостережения </w:t>
      </w:r>
      <w:r w:rsidRPr="001D1908">
        <w:rPr>
          <w:color w:val="000000"/>
          <w:sz w:val="28"/>
          <w:szCs w:val="28"/>
        </w:rPr>
        <w:t xml:space="preserve">о недопустимости нарушения обязательных требований </w:t>
      </w:r>
      <w:r w:rsidRPr="001D1908">
        <w:rPr>
          <w:sz w:val="28"/>
          <w:szCs w:val="28"/>
        </w:rPr>
        <w:t xml:space="preserve">5 </w:t>
      </w:r>
      <w:proofErr w:type="gramStart"/>
      <w:r w:rsidRPr="001D1908">
        <w:rPr>
          <w:sz w:val="28"/>
          <w:szCs w:val="28"/>
        </w:rPr>
        <w:t>операторам</w:t>
      </w:r>
      <w:proofErr w:type="gramEnd"/>
      <w:r w:rsidRPr="001D1908">
        <w:rPr>
          <w:sz w:val="28"/>
          <w:szCs w:val="28"/>
        </w:rPr>
        <w:t xml:space="preserve"> оказывающим услуги связи для целей кабельного вещания</w:t>
      </w:r>
      <w:r>
        <w:rPr>
          <w:sz w:val="28"/>
          <w:szCs w:val="28"/>
        </w:rPr>
        <w:t>, о присоединении к сети связи ФГУП «РТРС»:</w:t>
      </w:r>
    </w:p>
    <w:p w:rsidR="0027676A" w:rsidRDefault="0027676A" w:rsidP="0027676A">
      <w:pPr>
        <w:pStyle w:val="a4"/>
        <w:jc w:val="both"/>
        <w:rPr>
          <w:sz w:val="28"/>
          <w:szCs w:val="28"/>
        </w:rPr>
      </w:pPr>
      <w:r w:rsidRPr="001D19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983"/>
        <w:gridCol w:w="2299"/>
        <w:gridCol w:w="2554"/>
      </w:tblGrid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Наименование оператора связи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Дата выдачи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 Предостережения</w:t>
            </w:r>
          </w:p>
        </w:tc>
      </w:tr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«Спектр»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15.02.2019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545-2/37</w:t>
            </w:r>
          </w:p>
        </w:tc>
      </w:tr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«ТВ-Сервис»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12.02.2019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494-2/37</w:t>
            </w:r>
          </w:p>
        </w:tc>
      </w:tr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3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«Кабельные </w:t>
            </w:r>
            <w:proofErr w:type="spellStart"/>
            <w:r w:rsidRPr="005961B1">
              <w:rPr>
                <w:sz w:val="28"/>
                <w:szCs w:val="28"/>
              </w:rPr>
              <w:t>ТелеСистемы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11.02.2019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479-2/37</w:t>
            </w:r>
          </w:p>
        </w:tc>
      </w:tr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ИП Тихонов А.А.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151-2/37</w:t>
            </w:r>
          </w:p>
        </w:tc>
      </w:tr>
      <w:tr w:rsidR="0027676A" w:rsidRPr="005961B1" w:rsidTr="00BA13B3">
        <w:tc>
          <w:tcPr>
            <w:tcW w:w="484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</w:t>
            </w:r>
          </w:p>
        </w:tc>
        <w:tc>
          <w:tcPr>
            <w:tcW w:w="4193" w:type="dxa"/>
            <w:shd w:val="clear" w:color="auto" w:fill="auto"/>
          </w:tcPr>
          <w:p w:rsidR="0027676A" w:rsidRPr="005961B1" w:rsidRDefault="0027676A" w:rsidP="00BA13B3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«Дата </w:t>
            </w:r>
            <w:proofErr w:type="spellStart"/>
            <w:r w:rsidRPr="005961B1">
              <w:rPr>
                <w:sz w:val="28"/>
                <w:szCs w:val="28"/>
              </w:rPr>
              <w:t>Лайн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38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576" w:type="dxa"/>
            <w:shd w:val="clear" w:color="auto" w:fill="auto"/>
          </w:tcPr>
          <w:p w:rsidR="0027676A" w:rsidRPr="005961B1" w:rsidRDefault="0027676A" w:rsidP="00BA13B3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148-2/37</w:t>
            </w:r>
          </w:p>
        </w:tc>
      </w:tr>
    </w:tbl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Default="0027676A" w:rsidP="0027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требований при оказании услуг связи для целей кабельного </w:t>
      </w:r>
      <w:proofErr w:type="gramStart"/>
      <w:r>
        <w:rPr>
          <w:sz w:val="28"/>
          <w:szCs w:val="28"/>
        </w:rPr>
        <w:t>телевидения</w:t>
      </w:r>
      <w:proofErr w:type="gramEnd"/>
      <w:r>
        <w:rPr>
          <w:sz w:val="28"/>
          <w:szCs w:val="28"/>
        </w:rPr>
        <w:t xml:space="preserve"> а именно: по вопросу выполнения требований ч.1 ст.19.1 Федерального закона от 07.07.2003 № 126-ФЗ «О связи» в редакции Федерального закона от 13.07.2015 № 257-ФЗ «О внесении изменений в Закон Российской Федерации «О средствах массовой </w:t>
      </w:r>
      <w:r>
        <w:rPr>
          <w:sz w:val="28"/>
          <w:szCs w:val="28"/>
        </w:rPr>
        <w:lastRenderedPageBreak/>
        <w:t>информации» и Федеральный закон «О связи» в вопросе приема оператором обязательных общедоступных телеканалов и (</w:t>
      </w:r>
      <w:proofErr w:type="gramStart"/>
      <w:r>
        <w:rPr>
          <w:sz w:val="28"/>
          <w:szCs w:val="28"/>
        </w:rPr>
        <w:t>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(или) радиоканалов, с использованием точки присоединения сетей связи и параметров технических средств приема сигнала операторов обязательных общедоступных телеканалов и (или) радиоканалов для обеспечения</w:t>
      </w:r>
      <w:proofErr w:type="gramEnd"/>
      <w:r>
        <w:rPr>
          <w:sz w:val="28"/>
          <w:szCs w:val="28"/>
        </w:rPr>
        <w:t xml:space="preserve">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27676A" w:rsidRDefault="0027676A" w:rsidP="0027676A">
      <w:pPr>
        <w:ind w:firstLine="709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Профилактические</w:t>
      </w:r>
      <w:proofErr w:type="gramEnd"/>
      <w:r>
        <w:rPr>
          <w:b/>
          <w:sz w:val="28"/>
          <w:szCs w:val="28"/>
        </w:rPr>
        <w:t xml:space="preserve"> мероприятий для неопределенного круга лиц </w:t>
      </w:r>
    </w:p>
    <w:p w:rsidR="0027676A" w:rsidRDefault="0027676A" w:rsidP="0027676A">
      <w:pPr>
        <w:ind w:firstLine="709"/>
        <w:jc w:val="both"/>
        <w:rPr>
          <w:sz w:val="28"/>
          <w:szCs w:val="28"/>
        </w:rPr>
      </w:pPr>
    </w:p>
    <w:p w:rsidR="0027676A" w:rsidRDefault="0027676A" w:rsidP="0027676A">
      <w:pPr>
        <w:ind w:firstLine="709"/>
        <w:jc w:val="both"/>
        <w:rPr>
          <w:sz w:val="28"/>
          <w:szCs w:val="28"/>
        </w:rPr>
      </w:pPr>
      <w:proofErr w:type="gramStart"/>
      <w:r w:rsidRPr="000C367E">
        <w:rPr>
          <w:b/>
          <w:sz w:val="28"/>
          <w:szCs w:val="28"/>
        </w:rPr>
        <w:t>П. 16.1</w:t>
      </w:r>
      <w:r>
        <w:rPr>
          <w:sz w:val="28"/>
          <w:szCs w:val="28"/>
        </w:rPr>
        <w:t xml:space="preserve"> (Размещение разъяснений и поясняющей информации на сайте, беседы, интервью и статьи в прессе, в том числе в интернете. </w:t>
      </w:r>
      <w:proofErr w:type="gramEnd"/>
    </w:p>
    <w:p w:rsidR="0027676A" w:rsidRDefault="0027676A" w:rsidP="0027676A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Интернет–странице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присекательного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27676A" w:rsidRDefault="0027676A" w:rsidP="0027676A">
      <w:pPr>
        <w:ind w:firstLine="709"/>
        <w:jc w:val="both"/>
        <w:rPr>
          <w:sz w:val="28"/>
        </w:rPr>
      </w:pPr>
      <w:r>
        <w:rPr>
          <w:sz w:val="28"/>
        </w:rPr>
        <w:t>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нарушений.</w:t>
      </w:r>
    </w:p>
    <w:p w:rsidR="0027676A" w:rsidRPr="00951A07" w:rsidRDefault="0027676A" w:rsidP="0027676A">
      <w:pPr>
        <w:ind w:firstLine="709"/>
        <w:rPr>
          <w:color w:val="000000"/>
          <w:sz w:val="28"/>
        </w:rPr>
      </w:pPr>
    </w:p>
    <w:p w:rsidR="0027676A" w:rsidRPr="00951A07" w:rsidRDefault="0027676A" w:rsidP="0027676A">
      <w:pPr>
        <w:jc w:val="both"/>
        <w:rPr>
          <w:color w:val="000000"/>
        </w:rPr>
      </w:pPr>
    </w:p>
    <w:p w:rsidR="0027676A" w:rsidRDefault="0027676A" w:rsidP="0027676A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Профилактическая работа в</w:t>
      </w:r>
      <w:r w:rsidRPr="00FF2AE0">
        <w:rPr>
          <w:b/>
          <w:i/>
          <w:color w:val="000000"/>
          <w:sz w:val="28"/>
          <w:szCs w:val="28"/>
        </w:rPr>
        <w:t xml:space="preserve"> сфере ПД</w:t>
      </w:r>
    </w:p>
    <w:p w:rsidR="0027676A" w:rsidRPr="00FF2AE0" w:rsidRDefault="0027676A" w:rsidP="0027676A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Профилактические мероприятия в сфере персональных данных проводятся Управлением в соответствии с Планом-графиком профилактических мероприятий на 2019 год.</w:t>
      </w:r>
    </w:p>
    <w:p w:rsidR="0027676A" w:rsidRPr="00FF2AE0" w:rsidRDefault="0027676A" w:rsidP="0027676A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За 9 месяцев 2019 года были проведены следующие п</w:t>
      </w:r>
      <w:r w:rsidRPr="00FF2AE0">
        <w:rPr>
          <w:rFonts w:eastAsia="Calibri"/>
          <w:i/>
          <w:color w:val="000000"/>
          <w:sz w:val="28"/>
          <w:szCs w:val="28"/>
        </w:rPr>
        <w:t>рофилактические мероприятия для неопределенного круга лиц</w:t>
      </w:r>
      <w:r>
        <w:rPr>
          <w:rFonts w:eastAsia="Calibri"/>
          <w:i/>
          <w:color w:val="000000"/>
          <w:sz w:val="28"/>
          <w:szCs w:val="28"/>
        </w:rPr>
        <w:t>:</w:t>
      </w:r>
    </w:p>
    <w:p w:rsidR="0027676A" w:rsidRPr="00FF2AE0" w:rsidRDefault="0027676A" w:rsidP="0027676A">
      <w:pPr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FF2AE0">
        <w:rPr>
          <w:i/>
          <w:color w:val="000000"/>
          <w:sz w:val="28"/>
          <w:szCs w:val="28"/>
        </w:rPr>
        <w:t>П.</w:t>
      </w:r>
      <w:r>
        <w:rPr>
          <w:i/>
          <w:color w:val="000000"/>
          <w:sz w:val="28"/>
          <w:szCs w:val="28"/>
        </w:rPr>
        <w:t xml:space="preserve">38 </w:t>
      </w:r>
      <w:r w:rsidRPr="00FF2AE0">
        <w:rPr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  <w:r>
        <w:rPr>
          <w:i/>
          <w:color w:val="000000"/>
          <w:sz w:val="28"/>
          <w:szCs w:val="28"/>
          <w:lang w:eastAsia="ru-RU"/>
        </w:rPr>
        <w:t>: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Актуализация материалов, размещенных на интернет-странице </w:t>
      </w:r>
      <w:proofErr w:type="gramStart"/>
      <w:r w:rsidRPr="0013279D">
        <w:rPr>
          <w:sz w:val="28"/>
        </w:rPr>
        <w:t>проведена</w:t>
      </w:r>
      <w:proofErr w:type="gramEnd"/>
      <w:r w:rsidRPr="0013279D">
        <w:rPr>
          <w:sz w:val="28"/>
        </w:rPr>
        <w:t xml:space="preserve"> проводится по мере необходимости.</w:t>
      </w:r>
    </w:p>
    <w:p w:rsidR="0027676A" w:rsidRDefault="0027676A" w:rsidP="0027676A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433597">
        <w:rPr>
          <w:rFonts w:eastAsia="Calibri"/>
          <w:i/>
          <w:color w:val="000000"/>
          <w:sz w:val="28"/>
          <w:szCs w:val="28"/>
        </w:rPr>
        <w:t>П.39 (1) Проведение факультативных учебных занятий по информационной грамотности в общеобразовательных и высших профессиональных учебных заведениях:</w:t>
      </w:r>
    </w:p>
    <w:p w:rsidR="0027676A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19.06.2019 сотрудник Управления Роскомнадзора по Ивановской области принял участие в работе круглого стола «Моя профессия-юрист», </w:t>
      </w:r>
      <w:r w:rsidRPr="0013279D">
        <w:rPr>
          <w:sz w:val="28"/>
        </w:rPr>
        <w:lastRenderedPageBreak/>
        <w:t>организованного Частным профессиональным образовательным учреждением «Ивановский юридический колледж». Специалистом Управления были озвучены вопросы полномочий Роскомнадзора в сфере персональных данных, а также вопросы обеспечения безопасности при работе в сети Интернет. Присутствовало 80 студентов, завершивших обучение на 1 курсе ЧПОУ «Ивановский юридический колледж».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611B51">
        <w:rPr>
          <w:sz w:val="28"/>
        </w:rPr>
        <w:t>26.09.2019 в ОГКОУ Ивановская коррекционная школа-интернат № 1 прошли уроки информационной безопасности для воспитанников. На мероприятии присутствовало 68 учеников.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П.39 (2) </w:t>
      </w:r>
      <w:r w:rsidRPr="00A0701B">
        <w:rPr>
          <w:i/>
          <w:sz w:val="28"/>
        </w:rPr>
        <w:t>Проведение информационных семинаров по итогам осуществления государственного контроля и надзора в сфере персональных данных:</w:t>
      </w:r>
      <w:r w:rsidRPr="0013279D">
        <w:rPr>
          <w:sz w:val="28"/>
        </w:rPr>
        <w:t xml:space="preserve"> 29.01.2019 в Управлении Роскомнадзора по Ивановской области состоялся День открытых дверей. Интересующие вопросы по защите своих прав смогли задать граждане – субъекты персональных данных. Присутствовало 15 человек.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27.03.2019 Костин В.А. принял участие в работе круглого стола «Опыт Ивановской области в реализации плана Десятилетия детства. Лучшие практики государственных и некоммерческих организаций региона». На мероприятии обсуждались вопросы родительского просвещения, нравственного и патриотического воспитания подрастающего поколения, создания безопасной среды для ребенка. Участники мероприятия: Ивановское региональное отделение «Национальная родительская ассоциация социальной поддержки семьи и защиты семейных ценностей», Департамент образования Ивановской области, Уполномоченный по правам ребенка Ивановской области и др., всего представители 20 организаций.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21.02.2019 сотрудники Управления приняли участие в конференции, организованной Некоммерческим партнерством «Медицинские организации Ивановской области». Были рассмотрены типовые нарушения в области персональных данных, выявляемые в ходе проведения проверок. Присутствовало 29 представителей медицинских организаций региона.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29.04.2019 на базе Ивановского дома национальностей Департаментом образования Ивановской области совместно с прокуратурой Ивановской области был организован круглый стол с представителями и руководителями 30 молодежных общественных организаций по актуальным вопросам законодательства в части правил поведения в </w:t>
      </w:r>
      <w:proofErr w:type="gramStart"/>
      <w:r w:rsidRPr="0013279D">
        <w:rPr>
          <w:sz w:val="28"/>
        </w:rPr>
        <w:t>интернет-пространстве</w:t>
      </w:r>
      <w:proofErr w:type="gramEnd"/>
      <w:r w:rsidRPr="0013279D">
        <w:rPr>
          <w:sz w:val="28"/>
        </w:rPr>
        <w:t>. Одним из экспертов на данном мероприятии выступил руководитель Управления Титоренко С.В. с темой «Доведение правил обработки персональных данных в сети интернет для детского сообщества».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21.05.2019 была проведена рабочая встреча с представителями УФССП по Ивановской области с целью профилактики нарушений законодательства в области персональных данных, а именно по соблюдению требований статьи 14 Федерального закона № 152-ФЗ «О персональных данных». 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04.06.2019 года на территории Администрации Кинешемского муниципального района проведен информационный семинар для представителей органов местного самоуправления Кинешемского </w:t>
      </w:r>
      <w:r w:rsidRPr="0013279D">
        <w:rPr>
          <w:sz w:val="28"/>
        </w:rPr>
        <w:lastRenderedPageBreak/>
        <w:t>муниципального района, а также представителей подведомственных Администрации Кинешемского муниципального района организаций (всего присутствовало 50 представителей). Руководителем Управления Роскомнадзора по Ивановской области были рассмотрены вопросы о необходимости предоставления уведомлений об обработке персональных данных и информационных писем о внесении изменений в сведения в реестре операторов, осуществляющих обработку персональных данных.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19.06.2019 представитель Управления принял участие в мероприятии, организованном Департаментом внутренней политики Ивановской области на базе Дома национальностей с представителями молодежных объединений области. Обсуждалось взаимодействие Управления и молодежных организаций в создании волонтерских команд для продвижения вопросов интернет безопасности в </w:t>
      </w:r>
      <w:proofErr w:type="spellStart"/>
      <w:r w:rsidRPr="0013279D">
        <w:rPr>
          <w:sz w:val="28"/>
        </w:rPr>
        <w:t>референтных</w:t>
      </w:r>
      <w:proofErr w:type="spellEnd"/>
      <w:r w:rsidRPr="0013279D">
        <w:rPr>
          <w:sz w:val="28"/>
        </w:rPr>
        <w:t xml:space="preserve"> группах.</w:t>
      </w:r>
    </w:p>
    <w:p w:rsidR="0027676A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27.06.2019 состоялось заседание Комиссии по информационной безопасности Ивановской области. От лица Управления участие принимал руководитель Управления Титоренко С.В. На заседании </w:t>
      </w:r>
      <w:proofErr w:type="gramStart"/>
      <w:r w:rsidRPr="0013279D">
        <w:rPr>
          <w:sz w:val="28"/>
        </w:rPr>
        <w:t>КИБ</w:t>
      </w:r>
      <w:proofErr w:type="gramEnd"/>
      <w:r w:rsidRPr="0013279D">
        <w:rPr>
          <w:sz w:val="28"/>
        </w:rPr>
        <w:t xml:space="preserve"> Ивановской области были рассмотрены полномочия Роскомнадзора в области персональных данных, виды проводимых мероприятий, основания для проведения внеплановых проверок, а также проанализированы нарушения законодательства операторами, являющимися государственными или муниципальными органами власти в Ивановской области, выявленные при проведении проверок в 2018 и 1 полугодии 2019 года.</w:t>
      </w:r>
    </w:p>
    <w:p w:rsidR="0027676A" w:rsidRDefault="0027676A" w:rsidP="0027676A">
      <w:pPr>
        <w:ind w:firstLine="709"/>
        <w:jc w:val="both"/>
        <w:rPr>
          <w:sz w:val="28"/>
        </w:rPr>
      </w:pPr>
      <w:r w:rsidRPr="003875D4">
        <w:rPr>
          <w:sz w:val="28"/>
        </w:rPr>
        <w:t>30 июля 2019 года в Управлении Роскомнадзора по Ивановской области прошел День открытых дверей, посвященный защите прав субъектов персональных данных. В мероприятии приняли участие 18 человек, среди которых были представители государственных и коммерческих организаций.</w:t>
      </w:r>
    </w:p>
    <w:p w:rsidR="0027676A" w:rsidRDefault="0027676A" w:rsidP="0027676A">
      <w:pPr>
        <w:ind w:firstLine="709"/>
        <w:jc w:val="both"/>
        <w:rPr>
          <w:sz w:val="28"/>
        </w:rPr>
      </w:pPr>
      <w:r w:rsidRPr="003875D4">
        <w:rPr>
          <w:sz w:val="28"/>
        </w:rPr>
        <w:t>27.08.2019 руководитель Управления Роскомнадзора по Ивановской области принял участие в заседании межведомственной рабочей группы по вопросам соблюдения прав несовершеннолетних и молодежи, которое проводилось в Прокуратуре Ивановской области. Титоренко С.В. выступил с докладом на тему: «Повышение правовой грамотности детей по использованию персональных данных в сети «Интернет». Блокировка противоправной информации. Подписание кодекса добросовестных практик».</w:t>
      </w:r>
    </w:p>
    <w:p w:rsidR="0027676A" w:rsidRPr="003875D4" w:rsidRDefault="0027676A" w:rsidP="0027676A">
      <w:pPr>
        <w:ind w:firstLine="709"/>
        <w:jc w:val="both"/>
        <w:rPr>
          <w:sz w:val="28"/>
        </w:rPr>
      </w:pPr>
      <w:r w:rsidRPr="003875D4">
        <w:rPr>
          <w:sz w:val="28"/>
        </w:rPr>
        <w:t xml:space="preserve">13 сентября 2019 года на территории Администрации Савинского муниципального района Управлением Роскомнадзора по Ивановской области проведен информационный семинар для представителей органов местного самоуправления Савинского муниципального района, а также представителей подведомственных Администрации организаций. </w:t>
      </w:r>
      <w:proofErr w:type="gramStart"/>
      <w:r w:rsidRPr="003875D4">
        <w:rPr>
          <w:sz w:val="28"/>
        </w:rPr>
        <w:t xml:space="preserve">Сотрудники Управления Роскомнадзора по Ивановской области довели до участников мероприятия порядок направления уведомления об обработке персональных данных, а также изменения ранее направленных сведений, осветили требования законодательства РФ в сфере персональных данных при сборе их посредством </w:t>
      </w:r>
      <w:proofErr w:type="spellStart"/>
      <w:r w:rsidRPr="003875D4">
        <w:rPr>
          <w:sz w:val="28"/>
        </w:rPr>
        <w:t>интернет-ресурсов</w:t>
      </w:r>
      <w:proofErr w:type="spellEnd"/>
      <w:r w:rsidRPr="003875D4">
        <w:rPr>
          <w:sz w:val="28"/>
        </w:rPr>
        <w:t xml:space="preserve">, а также рассмотрели меры административного воздействия на операторов, действующих с нарушением </w:t>
      </w:r>
      <w:r w:rsidRPr="003875D4">
        <w:rPr>
          <w:sz w:val="28"/>
        </w:rPr>
        <w:lastRenderedPageBreak/>
        <w:t>требований законодательства в сфере персональных данных.</w:t>
      </w:r>
      <w:proofErr w:type="gramEnd"/>
      <w:r w:rsidRPr="003875D4">
        <w:rPr>
          <w:sz w:val="28"/>
        </w:rPr>
        <w:t xml:space="preserve"> Присутствовало 27 представителей операторов.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3377E3">
        <w:rPr>
          <w:i/>
          <w:sz w:val="28"/>
        </w:rPr>
        <w:t xml:space="preserve">П. 40 (1) 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</w:t>
      </w:r>
      <w:proofErr w:type="gramStart"/>
      <w:r w:rsidRPr="003377E3">
        <w:rPr>
          <w:i/>
          <w:sz w:val="28"/>
        </w:rPr>
        <w:t>операторов</w:t>
      </w:r>
      <w:proofErr w:type="gramEnd"/>
      <w:r w:rsidRPr="003377E3">
        <w:rPr>
          <w:i/>
          <w:sz w:val="28"/>
        </w:rPr>
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</w:r>
      <w:r w:rsidRPr="0013279D">
        <w:rPr>
          <w:sz w:val="28"/>
        </w:rPr>
        <w:t xml:space="preserve">: </w:t>
      </w:r>
      <w:r>
        <w:rPr>
          <w:sz w:val="28"/>
        </w:rPr>
        <w:t>за 9</w:t>
      </w:r>
      <w:r w:rsidRPr="0013279D">
        <w:rPr>
          <w:sz w:val="28"/>
        </w:rPr>
        <w:t xml:space="preserve"> </w:t>
      </w:r>
      <w:r>
        <w:rPr>
          <w:sz w:val="28"/>
        </w:rPr>
        <w:t>месяцев</w:t>
      </w:r>
      <w:r w:rsidRPr="0013279D">
        <w:rPr>
          <w:sz w:val="28"/>
        </w:rPr>
        <w:t xml:space="preserve"> 2019 года информация не направлялась в связи с отсутствием оснований.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40 (2) Корректировка Программы профилактики нарушения обязательных требований, по результатам обобщения: </w:t>
      </w:r>
      <w:r>
        <w:rPr>
          <w:sz w:val="28"/>
        </w:rPr>
        <w:t>за 9</w:t>
      </w:r>
      <w:r w:rsidRPr="0013279D">
        <w:rPr>
          <w:sz w:val="28"/>
        </w:rPr>
        <w:t xml:space="preserve"> </w:t>
      </w:r>
      <w:r>
        <w:rPr>
          <w:sz w:val="28"/>
        </w:rPr>
        <w:t>месяцев</w:t>
      </w:r>
      <w:r w:rsidRPr="0013279D">
        <w:rPr>
          <w:sz w:val="28"/>
        </w:rPr>
        <w:t xml:space="preserve"> 2019 года не проводилось в связи с отсутствием оснований.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proofErr w:type="gramStart"/>
      <w:r w:rsidRPr="0013279D">
        <w:rPr>
          <w:sz w:val="28"/>
        </w:rPr>
        <w:t xml:space="preserve">40 (3) Публикация на официальной интернет-странице Управления информации об итогах контрольно-надзорной деятельности: </w:t>
      </w:r>
      <w:r>
        <w:rPr>
          <w:sz w:val="28"/>
        </w:rPr>
        <w:t>за 9</w:t>
      </w:r>
      <w:r w:rsidRPr="0013279D">
        <w:rPr>
          <w:sz w:val="28"/>
        </w:rPr>
        <w:t xml:space="preserve"> </w:t>
      </w:r>
      <w:r>
        <w:rPr>
          <w:sz w:val="28"/>
        </w:rPr>
        <w:t>месяцев</w:t>
      </w:r>
      <w:r w:rsidRPr="0013279D">
        <w:rPr>
          <w:sz w:val="28"/>
        </w:rPr>
        <w:t xml:space="preserve"> 2019 на интернет-странице Управления Роскомнадзора по Ивановской области была размещена информация о результатах контрольно-надзорных мероприятий в отношении ООО «</w:t>
      </w:r>
      <w:proofErr w:type="spellStart"/>
      <w:r w:rsidRPr="0013279D">
        <w:rPr>
          <w:sz w:val="28"/>
        </w:rPr>
        <w:t>Медис</w:t>
      </w:r>
      <w:proofErr w:type="spellEnd"/>
      <w:r w:rsidRPr="0013279D">
        <w:rPr>
          <w:sz w:val="28"/>
        </w:rPr>
        <w:t>», ООО «Полосатый рейс», ОГКУ «</w:t>
      </w:r>
      <w:proofErr w:type="spellStart"/>
      <w:r w:rsidRPr="0013279D">
        <w:rPr>
          <w:sz w:val="28"/>
        </w:rPr>
        <w:t>Лежневский</w:t>
      </w:r>
      <w:proofErr w:type="spellEnd"/>
      <w:r w:rsidRPr="0013279D">
        <w:rPr>
          <w:sz w:val="28"/>
        </w:rPr>
        <w:t xml:space="preserve"> ЦЗН», ОГКУ «Родниковский ЦЗН», Администрации </w:t>
      </w:r>
      <w:proofErr w:type="spellStart"/>
      <w:r w:rsidRPr="0013279D">
        <w:rPr>
          <w:sz w:val="28"/>
        </w:rPr>
        <w:t>Южского</w:t>
      </w:r>
      <w:proofErr w:type="spellEnd"/>
      <w:r w:rsidRPr="0013279D">
        <w:rPr>
          <w:sz w:val="28"/>
        </w:rPr>
        <w:t xml:space="preserve"> муниципального района, Администрации Кинешемского муниципального района</w:t>
      </w:r>
      <w:r>
        <w:rPr>
          <w:sz w:val="28"/>
        </w:rPr>
        <w:t>,</w:t>
      </w:r>
      <w:r w:rsidRPr="003875D4">
        <w:rPr>
          <w:sz w:val="28"/>
        </w:rPr>
        <w:t xml:space="preserve"> </w:t>
      </w:r>
      <w:r w:rsidRPr="0013279D">
        <w:rPr>
          <w:sz w:val="28"/>
        </w:rPr>
        <w:t xml:space="preserve">Администрации </w:t>
      </w:r>
      <w:r>
        <w:rPr>
          <w:sz w:val="28"/>
        </w:rPr>
        <w:t>Савинского</w:t>
      </w:r>
      <w:r w:rsidRPr="0013279D">
        <w:rPr>
          <w:sz w:val="28"/>
        </w:rPr>
        <w:t xml:space="preserve"> муниципального района</w:t>
      </w:r>
      <w:r>
        <w:rPr>
          <w:sz w:val="28"/>
        </w:rPr>
        <w:t>,</w:t>
      </w:r>
      <w:r w:rsidRPr="003875D4">
        <w:rPr>
          <w:sz w:val="28"/>
        </w:rPr>
        <w:t xml:space="preserve"> </w:t>
      </w:r>
      <w:r w:rsidRPr="0013279D"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Новописцовского</w:t>
      </w:r>
      <w:proofErr w:type="spellEnd"/>
      <w:r>
        <w:rPr>
          <w:sz w:val="28"/>
        </w:rPr>
        <w:t xml:space="preserve"> городского поселения</w:t>
      </w:r>
      <w:r w:rsidRPr="0013279D">
        <w:rPr>
          <w:sz w:val="28"/>
        </w:rPr>
        <w:t>.</w:t>
      </w:r>
      <w:proofErr w:type="gramEnd"/>
      <w:r w:rsidRPr="0013279D">
        <w:rPr>
          <w:sz w:val="28"/>
        </w:rPr>
        <w:t xml:space="preserve"> Указанная информация публикуется на </w:t>
      </w:r>
      <w:proofErr w:type="gramStart"/>
      <w:r w:rsidRPr="0013279D">
        <w:rPr>
          <w:sz w:val="28"/>
        </w:rPr>
        <w:t>интернет-странице</w:t>
      </w:r>
      <w:proofErr w:type="gramEnd"/>
      <w:r w:rsidRPr="0013279D">
        <w:rPr>
          <w:sz w:val="28"/>
        </w:rPr>
        <w:t xml:space="preserve"> по завершении мероприятий. 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Также на </w:t>
      </w:r>
      <w:proofErr w:type="gramStart"/>
      <w:r w:rsidRPr="0013279D">
        <w:rPr>
          <w:sz w:val="28"/>
        </w:rPr>
        <w:t>интернет-странице</w:t>
      </w:r>
      <w:proofErr w:type="gramEnd"/>
      <w:r w:rsidRPr="0013279D">
        <w:rPr>
          <w:sz w:val="28"/>
        </w:rPr>
        <w:t xml:space="preserve"> Управления Роскомнадзора по Ивановской области была размещена информация о привлечении к административной ответственности ПАО «</w:t>
      </w:r>
      <w:proofErr w:type="spellStart"/>
      <w:r w:rsidRPr="0013279D">
        <w:rPr>
          <w:sz w:val="28"/>
        </w:rPr>
        <w:t>Совкомбанк</w:t>
      </w:r>
      <w:proofErr w:type="spellEnd"/>
      <w:r w:rsidRPr="0013279D">
        <w:rPr>
          <w:sz w:val="28"/>
        </w:rPr>
        <w:t>»</w:t>
      </w:r>
      <w:r>
        <w:rPr>
          <w:sz w:val="28"/>
        </w:rPr>
        <w:t xml:space="preserve"> и ПАО Сбербанк</w:t>
      </w:r>
      <w:r w:rsidRPr="0013279D">
        <w:rPr>
          <w:sz w:val="28"/>
        </w:rPr>
        <w:t xml:space="preserve"> по результатам рассмотрения заявления субъекта персональных данных.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Адресные профилактические мероприятия.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П. 41. Внедрение в практическую деятельность операторов Кодекса добросовестных практик (Кодекса этической деятельности (работы) в сети Интернет): </w:t>
      </w:r>
      <w:r>
        <w:rPr>
          <w:sz w:val="28"/>
        </w:rPr>
        <w:t>за 9</w:t>
      </w:r>
      <w:r w:rsidRPr="0013279D">
        <w:rPr>
          <w:sz w:val="28"/>
        </w:rPr>
        <w:t xml:space="preserve"> </w:t>
      </w:r>
      <w:r>
        <w:rPr>
          <w:sz w:val="28"/>
        </w:rPr>
        <w:t>месяцев</w:t>
      </w:r>
      <w:r w:rsidRPr="0013279D">
        <w:rPr>
          <w:sz w:val="28"/>
        </w:rPr>
        <w:t xml:space="preserve"> 2019 года Кодекс был подписан </w:t>
      </w:r>
      <w:r>
        <w:rPr>
          <w:sz w:val="28"/>
        </w:rPr>
        <w:t>23</w:t>
      </w:r>
      <w:r w:rsidRPr="0013279D">
        <w:rPr>
          <w:sz w:val="28"/>
        </w:rPr>
        <w:t xml:space="preserve"> операторами.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П. 42. Информирование подконтрольных субъектов по вопросам соблюдения обязательных требований: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различных сфер деятельности, в том числе организаций сферы жилищно-коммунального хозяйства, организаций, осуществляющих фармацевтическую деятельность, агентств недвижимости.</w:t>
      </w:r>
    </w:p>
    <w:p w:rsidR="0027676A" w:rsidRPr="0013279D" w:rsidRDefault="0027676A" w:rsidP="0027676A">
      <w:pPr>
        <w:ind w:firstLine="709"/>
        <w:jc w:val="both"/>
        <w:rPr>
          <w:sz w:val="28"/>
        </w:rPr>
      </w:pPr>
      <w:r w:rsidRPr="0013279D">
        <w:rPr>
          <w:sz w:val="28"/>
        </w:rPr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3744C8" w:rsidRDefault="0027676A" w:rsidP="0027676A">
      <w:pPr>
        <w:ind w:firstLine="709"/>
        <w:jc w:val="both"/>
      </w:pPr>
      <w:r w:rsidRPr="0013279D">
        <w:rPr>
          <w:sz w:val="28"/>
        </w:rPr>
        <w:t>В 2019 год</w:t>
      </w:r>
      <w:r>
        <w:rPr>
          <w:sz w:val="28"/>
        </w:rPr>
        <w:t>у</w:t>
      </w:r>
      <w:r w:rsidRPr="0013279D">
        <w:rPr>
          <w:sz w:val="28"/>
        </w:rPr>
        <w:t xml:space="preserve"> информация о необходимости уведомления уполномоченного органа по защите прав субъектов персональных данных размещена на информационных порталах </w:t>
      </w:r>
      <w:proofErr w:type="spellStart"/>
      <w:r w:rsidRPr="0013279D">
        <w:rPr>
          <w:sz w:val="28"/>
        </w:rPr>
        <w:t>Кинешемец</w:t>
      </w:r>
      <w:proofErr w:type="gramStart"/>
      <w:r w:rsidRPr="0013279D">
        <w:rPr>
          <w:sz w:val="28"/>
        </w:rPr>
        <w:t>.р</w:t>
      </w:r>
      <w:proofErr w:type="gramEnd"/>
      <w:r w:rsidRPr="0013279D">
        <w:rPr>
          <w:sz w:val="28"/>
        </w:rPr>
        <w:t>у</w:t>
      </w:r>
      <w:proofErr w:type="spellEnd"/>
      <w:r w:rsidRPr="0013279D">
        <w:rPr>
          <w:sz w:val="28"/>
        </w:rPr>
        <w:t xml:space="preserve"> и </w:t>
      </w:r>
      <w:proofErr w:type="spellStart"/>
      <w:r w:rsidRPr="0013279D">
        <w:rPr>
          <w:sz w:val="28"/>
        </w:rPr>
        <w:t>Частник.ру</w:t>
      </w:r>
      <w:proofErr w:type="spellEnd"/>
      <w:r w:rsidRPr="0013279D">
        <w:rPr>
          <w:sz w:val="28"/>
        </w:rPr>
        <w:t>.</w:t>
      </w:r>
      <w:bookmarkStart w:id="0" w:name="_GoBack"/>
      <w:bookmarkEnd w:id="0"/>
    </w:p>
    <w:sectPr w:rsidR="0037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890"/>
    <w:multiLevelType w:val="hybridMultilevel"/>
    <w:tmpl w:val="7EC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A"/>
    <w:rsid w:val="0027676A"/>
    <w:rsid w:val="003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6A"/>
    <w:pPr>
      <w:ind w:left="720"/>
      <w:contextualSpacing/>
    </w:pPr>
  </w:style>
  <w:style w:type="paragraph" w:styleId="a4">
    <w:name w:val="No Spacing"/>
    <w:uiPriority w:val="1"/>
    <w:qFormat/>
    <w:rsid w:val="002767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6A"/>
    <w:pPr>
      <w:ind w:left="720"/>
      <w:contextualSpacing/>
    </w:pPr>
  </w:style>
  <w:style w:type="paragraph" w:styleId="a4">
    <w:name w:val="No Spacing"/>
    <w:uiPriority w:val="1"/>
    <w:qFormat/>
    <w:rsid w:val="0027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2020-01-23T05:37:00Z</dcterms:created>
  <dcterms:modified xsi:type="dcterms:W3CDTF">2020-01-23T05:39:00Z</dcterms:modified>
</cp:coreProperties>
</file>