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4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5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1260"/>
        <w:jc w:val="center"/>
        <w:outlineLvl w:val="1"/>
        <w:rPr/>
      </w:pPr>
      <w:r>
        <w:rPr/>
        <w:drawing>
          <wp:inline distT="0" distB="0" distL="0" distR="0">
            <wp:extent cx="7086600" cy="13639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36" t="-41" r="49218" b="8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МЕТОДИЧЕСКИЕ РЕКОМЕНДАЦИИ</w:t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 организацией</w:t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40" w:right="851" w:header="567" w:top="907" w:footer="0" w:bottom="96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ageBreakBefore/>
        <w:ind w:left="0" w:right="0"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  <w:gridCol w:w="582"/>
      </w:tblGrid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 Общие положения</w:t>
            </w:r>
            <w:r>
              <w:rPr>
                <w:bCs/>
                <w:sz w:val="26"/>
                <w:szCs w:val="26"/>
              </w:rPr>
              <w:t>…...……………………………………………………………..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Условия, влекущие необходимость получения гражданином -</w:t>
            </w:r>
          </w:p>
          <w:p>
            <w:pPr>
              <w:pStyle w:val="Normal"/>
              <w:shd w:fill="FFFFFF" w:val="clear"/>
              <w:spacing w:lineRule="auto" w:line="276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интересов…..............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 Порядок направления гражданином - бывшим государственным (муниципальным) служащим обращения о даче согласия на трудоустройство.....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76" w:before="280" w:after="2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IV. Порядок рассмотрения обращения гражданина - бывшего государственного (муниципального) служащего о даче согласия на трудоустройство ……............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VI. Рассмотрение обращения на заседании комиссии…………...............................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органе………………………………………...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службы…………………………………………………..…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договора………………………………………………………………….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совместительству…………………………………………………………………….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договора……………………….....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XII. Рассмотрение сообщения работодателя……………………………………….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ограничений……………………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 января 2015 г. № 29……………………………………………………………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>
        <w:trPr>
          <w:cantSplit w:val="false"/>
        </w:trPr>
        <w:tc>
          <w:tcPr>
            <w:tcW w:w="9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Приказ Роскомнадзора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lineRule="auto" w:line="276" w:before="280" w:after="280"/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t>27</w:t>
            </w:r>
          </w:p>
        </w:tc>
      </w:tr>
    </w:tbl>
    <w:p>
      <w:pPr>
        <w:pStyle w:val="Normal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ageBreakBefore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МЕТОДИЧЕСКИЕ РЕКОМЕНДАЦИИ</w:t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>
      <w:pPr>
        <w:pStyle w:val="Normal"/>
        <w:spacing w:lineRule="atLeast" w:line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 организацией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«О противодействии коррупции» </w:t>
        <w:br/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Методические рекомендации ориентированы на следующих лиц: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гражданин - бывший государственный (муниципальный) служащий (далее также - гражданин) 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II. Условия, влекущие необходимость получения гражданином -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бывшим государственным (муниципальным) служащим согласия комиссии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Указом Президента Российской Федерации от 21 июля 2010 г. № 925 </w:t>
        <w:br/>
        <w:t xml:space="preserve">«О мерах по реализации отдельных положений Федерального закона </w:t>
        <w:br/>
        <w:t>«О противодействии коррупции»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  <w:br/>
        <w:t>(далее - Указ № 557);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  <w:br/>
        <w:t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организацией, в которую он трудоустраивается.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3) прошло менее двух лет со дня увольнения гражданина с государственной (муниципальной)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Принятие решения о получении согласия комиссии осуществляется исходя из совокупности вышеуказанных условий.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Ограничения, предусмотренные статьей 12 Федерального закона </w:t>
        <w:br/>
        <w:t>№ 273-ФЗ, распространяются на гражданина независимо от оснований его увольнения с государственной (муниципальной)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«б» пункта 16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обращении указываются следующие сведения: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фамилия, имя, отчество гражданина, дата его рождения, адрес места жительства;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вид договора (трудовой или гражданско-правовой);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обращение о намерении лично присутствовать на заседании комиссии (пункт 19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т.д.), предполагаемом круге обязанностей.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 ходе подготовки мотивированного заключения рекомендуется: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лицензирования отдельных видов деятельности, выдачи разрешений на отдельные виды работ;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размещения заказов на поставку товаров, выполнение работ и оказание услуг для государственных нужд;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имущества и сделок с ним;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государственной экспертизы и выдачи заключений;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государственного надзора и (или) контроля;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В случае, если в ходе проверочных мероприятий установлено,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гражданин, замещая должность государственной (муниципальной)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«б» пункта 13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Под информацией, содержащей основания для проведения заседания комиссии, понимается: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соответствующего обращения гражданина;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Направление обращения в случае упразднения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(муниципального) органа, в котором гражданин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замещал должность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«О 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Согласно приказу Министерства культуры Российской Федерации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августа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Исходя из положений статьи 5 Федерального закона от 22 октября 2004 г. № 125-ФЗ «Об архивном деле в Российской Федерации» (далее - Федеральный закон № 125-ФЗ) указанные личные дела включаются в состав Архивного фонда Российской Федерации.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Рассмотрение обращения на заседании комиссии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О намерении лично присутствовать на заседании комиссии гражданин указывает в обращении.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Заседания комиссии могут проводиться в отсутствие гражданина в случаях (пункт 19.1 Положения о комиссиях):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если в обращении не содержится указания о намерении гражданина лично присутствовать на заседании комиссии;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  <w:br/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VIII. Последствия нарушения гражданином -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>
      <w:pPr>
        <w:pStyle w:val="Normal"/>
        <w:shd w:fill="FFFFFF" w:val="clear"/>
        <w:spacing w:lineRule="atLeast" w:line="300"/>
        <w:ind w:left="0" w:right="0"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после увольнения гражданина с государственной (муниципальной) службы прошло: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двух лет - сообщать о заключении трудового (гражданско-правового) договора не требуется.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число, месяц, год и место рождения гражданина;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наименование организации (полное, а также сокращенное </w:t>
        <w:br/>
        <w:t>(при наличии).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и номер гражданско-правового договора;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стоимость работ (услуг) по гражданско-правовому договору.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Работодатель вправе самостоятельно определить способ направления сообщения.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X. Обязанность уведомления государственного (муниципального) органа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при трудоустройстве гражданина в коммерческие (некоммерческие) организации по совместительству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>
        <w:rPr>
          <w:color w:val="000000"/>
          <w:sz w:val="28"/>
          <w:szCs w:val="28"/>
          <w:highlight w:val="yellow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влечет наложение административного штрафа: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граждан в размере от двух тысяч до четырех тысяч рублей;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должностных лиц - от двадцати тысяч до пятидесяти тысяч рублей;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юридических лиц - от ста тысяч до пятисот тысяч рублей.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 Данные нарушения могут, в том числе, состоять в том, что: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XII. Рассмотрение сообщения работодателя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«д» пункта 16 Положения о комиссиях):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 позднее 10 дней после его заключения.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XIII. Осуществление проверки соблюдения гражданином -</w:t>
      </w:r>
    </w:p>
    <w:p>
      <w:pPr>
        <w:pStyle w:val="Normal"/>
        <w:shd w:fill="FFFFFF" w:val="clear"/>
        <w:spacing w:lineRule="atLeast" w:line="30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бывшим государственным (муниципальным) служащим ограничений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коррупции»).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  <w:br/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300"/>
        <w:ind w:left="0" w:righ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>
      <w:pPr>
        <w:pStyle w:val="Normal"/>
        <w:widowControl w:val="false"/>
        <w:ind w:left="0" w:righ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ageBreakBefore/>
        <w:widowControl w:val="false"/>
        <w:jc w:val="center"/>
        <w:outlineLvl w:val="0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от 21 января 2015 г. № 29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ОБ УТВЕРЖДЕНИИ ПРАВИЛ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СООБЩЕНИЯ РАБОТОДАТЕЛЕМ О ЗАКЛЮЧЕНИИ ТРУДОВОГО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ИЛИ ГРАЖДАНСКО-ПРАВОВОГО ДОГОВОРА НА ВЫПОЛНЕНИЕ РАБОТ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(ОКАЗАНИЕ УСЛУГ) С ГРАЖДАНИНОМ, ЗАМЕЩАВШИМ ДОЛЖНОСТИ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ГОСУДАРСТВЕННОЙ ИЛИ МУНИЦИПАЛЬНОЙ СЛУЖБЫ, ПЕРЕЧЕНЬ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КОТОРЫХ УСТАНАВЛИВАЕТСЯ НОРМАТИВНЫМИ ПРАВОВЫМИ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АКТАМИ РОССИЙСКОЙ ФЕДЕРАЦИИ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</w:r>
    </w:p>
    <w:p>
      <w:pPr>
        <w:pStyle w:val="ConsPlus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изменяющих документов</w:t>
      </w:r>
    </w:p>
    <w:p>
      <w:pPr>
        <w:pStyle w:val="ConsPlus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ред. </w:t>
      </w:r>
      <w:hyperlink r:id="rId4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РФ от 09.08.2016 № 762)</w:t>
      </w:r>
    </w:p>
    <w:p>
      <w:pPr>
        <w:pStyle w:val="ConsPlus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5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статьей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 противодействии коррупции» Правительство Российской Федерации постановляет: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прилагаемые </w:t>
      </w:r>
      <w:hyperlink w:anchor="P34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Правила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</w:t>
      </w:r>
      <w:hyperlink r:id="rId6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(Собрание законодательства Российской Федерации, 2010, № 37, ст. 4712).</w:t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Правительства</w:t>
      </w:r>
    </w:p>
    <w:p>
      <w:pPr>
        <w:pStyle w:val="ConsPlus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</w:p>
    <w:p>
      <w:pPr>
        <w:pStyle w:val="ConsPlus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Д.МЕДВЕДЕВ</w:t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720"/>
        <w:jc w:val="right"/>
        <w:outlineLvl w:val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ConsPlus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Правительства</w:t>
      </w:r>
    </w:p>
    <w:p>
      <w:pPr>
        <w:pStyle w:val="ConsPlus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</w:p>
    <w:p>
      <w:pPr>
        <w:pStyle w:val="ConsPlus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21 января 2015 г. № 29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bookmarkStart w:id="1" w:name="P34"/>
      <w:bookmarkEnd w:id="1"/>
      <w:r>
        <w:rPr>
          <w:b/>
          <w:bCs/>
        </w:rPr>
        <w:t>ПРАВИЛА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СООБЩЕНИЯ РАБОТОДАТЕЛЕМ О ЗАКЛЮЧЕНИИ ТРУДОВОГО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ИЛИ ГРАЖДАНСКО-ПРАВОВОГО ДОГОВОРА НА ВЫПОЛНЕНИЕ РАБОТ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(ОКАЗАНИЕ УСЛУГ) С ГРАЖДАНИНОМ, ЗАМЕЩАВШИМ ДОЛЖНОСТИ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ГОСУДАРСТВЕННОЙ ИЛИ МУНИЦИПАЛЬНОЙ СЛУЖБЫ, ПЕРЕЧЕНЬ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КОТОРЫХ УСТАНАВЛИВАЕТСЯ НОРМАТИВНЫМИ ПРАВОВЫМИ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  <w:t>АКТАМИ РОССИЙСКОЙ ФЕДЕРАЦИИ</w:t>
      </w:r>
    </w:p>
    <w:p>
      <w:pPr>
        <w:pStyle w:val="Normal"/>
        <w:widowControl w:val="false"/>
        <w:jc w:val="center"/>
        <w:outlineLvl w:val="0"/>
        <w:rPr>
          <w:b/>
          <w:bCs/>
        </w:rPr>
      </w:pPr>
      <w:r>
        <w:rPr>
          <w:b/>
          <w:bCs/>
        </w:rPr>
      </w:r>
    </w:p>
    <w:p>
      <w:pPr>
        <w:pStyle w:val="ConsPlus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изменяющих документов</w:t>
      </w:r>
    </w:p>
    <w:p>
      <w:pPr>
        <w:pStyle w:val="ConsPlus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ред. </w:t>
      </w:r>
      <w:hyperlink r:id="rId7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РФ от 09.08.2016 № 762)</w:t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ConsPlus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ред. </w:t>
      </w:r>
      <w:hyperlink r:id="rId9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РФ от 09.08.2016 № 762)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bookmarkStart w:id="2" w:name="P50"/>
      <w:bookmarkEnd w:id="2"/>
      <w:r>
        <w:rPr>
          <w:rFonts w:cs="Times New Roman" w:ascii="Times New Roman" w:hAnsi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число, месяц, год и место рождения гражданина;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наименование организации (полное, а также сокращенное (при наличии).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пункте 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также указываются следующие данные: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rStyle w:val="Style15"/>
            <w:rFonts w:cs="Times New Roman" w:ascii="Times New Roman" w:hAnsi="Times New Roman"/>
            <w:color w:val="0000FF"/>
            <w:sz w:val="28"/>
            <w:szCs w:val="28"/>
          </w:rPr>
          <w:t>пункте 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также указываются следующие данные: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и номер гражданско-правового договора;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стоимость работ (услуг) по гражданско-правовому договору.</w:t>
      </w:r>
    </w:p>
    <w:p>
      <w:pPr>
        <w:sectPr>
          <w:headerReference w:type="default" r:id="rId10"/>
          <w:headerReference w:type="first" r:id="rId11"/>
          <w:type w:val="nextPage"/>
          <w:pgSz w:w="11906" w:h="16838"/>
          <w:pgMar w:left="1440" w:right="851" w:header="567" w:top="907" w:footer="0" w:bottom="96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21"/>
        <w:pBdr>
          <w:top w:val="nil"/>
          <w:left w:val="nil"/>
          <w:bottom w:val="nil"/>
          <w:right w:val="nil"/>
        </w:pBdr>
        <w:rPr>
          <w:rStyle w:val="Pagenumber"/>
        </w:rPr>
      </w:pPr>
      <w:r>
        <w:rPr>
          <w:rStyle w:val="Pagenumber"/>
        </w:rPr>
        <w:fldChar w:fldCharType="begin"/>
      </w:r>
      <w:r>
        <w:instrText> PAGE </w:instrText>
      </w:r>
      <w:r>
        <w:fldChar w:fldCharType="separate"/>
      </w:r>
      <w:r>
        <w:t>26</w:t>
      </w:r>
      <w:r>
        <w:fldChar w:fldCharType="end"/>
      </w:r>
    </w:p>
    <w:p>
      <w:pPr>
        <w:pStyle w:val="ConsPlusNormal"/>
        <w:ind w:left="0" w:right="0" w:firstLine="720"/>
        <w:outlineLvl w:val="0"/>
        <w:rPr/>
      </w:pPr>
      <w:r>
        <w:rPr/>
        <w:t>Зарегистрировано в Минюсте России 7 апреля 2017 г. N 46308</w:t>
      </w:r>
    </w:p>
    <w:p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СВЯЗИ И МАССОВЫХ КОММУНИКАЦИЙ</w:t>
      </w:r>
    </w:p>
    <w:p>
      <w:pPr>
        <w:pStyle w:val="ConsPlusTitle"/>
        <w:jc w:val="center"/>
        <w:rPr/>
      </w:pPr>
      <w:r>
        <w:rPr/>
        <w:t>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ФЕДЕРАЛЬНАЯ СЛУЖБА ПО НАДЗОРУ В СФЕРЕ СВЯЗИ,</w:t>
      </w:r>
    </w:p>
    <w:p>
      <w:pPr>
        <w:pStyle w:val="ConsPlusTitle"/>
        <w:jc w:val="center"/>
        <w:rPr/>
      </w:pPr>
      <w:r>
        <w:rPr/>
        <w:t>ИНФОРМАЦИОННЫХ ТЕХНОЛОГИЙ И МАССОВЫХ КОММУНИКАЦИЙ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17 марта 2017 г. N 41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ПЕРЕЧНЯ</w:t>
      </w:r>
    </w:p>
    <w:p>
      <w:pPr>
        <w:pStyle w:val="ConsPlusTitle"/>
        <w:jc w:val="center"/>
        <w:rPr/>
      </w:pPr>
      <w:r>
        <w:rPr/>
        <w:t>ДОЛЖНОСТЕЙ ФЕДЕРАЛЬНОЙ ГОСУДАРСТВЕННОЙ ГРАЖДАНСКОЙ</w:t>
      </w:r>
    </w:p>
    <w:p>
      <w:pPr>
        <w:pStyle w:val="ConsPlusTitle"/>
        <w:jc w:val="center"/>
        <w:rPr/>
      </w:pPr>
      <w:r>
        <w:rPr/>
        <w:t>СЛУЖБЫ В ФЕДЕРАЛЬНОЙ СЛУЖБЕ ПО НАДЗОРУ В СФЕРЕ СВЯЗИ,</w:t>
      </w:r>
    </w:p>
    <w:p>
      <w:pPr>
        <w:pStyle w:val="ConsPlusTitle"/>
        <w:jc w:val="center"/>
        <w:rPr/>
      </w:pPr>
      <w:r>
        <w:rPr/>
        <w:t>ИНФОРМАЦИОННЫХ ТЕХНОЛОГИЙ И МАССОВЫХ КОММУНИКАЦИЙ</w:t>
      </w:r>
    </w:p>
    <w:p>
      <w:pPr>
        <w:pStyle w:val="ConsPlusTitle"/>
        <w:jc w:val="center"/>
        <w:rPr/>
      </w:pPr>
      <w:r>
        <w:rPr/>
        <w:t>И ЕЕ ТЕРРИТОРИАЛЬНЫХ ОРГАНАХ, ПРИ ЗАМЕЩЕНИИ КОТОРЫХ</w:t>
      </w:r>
    </w:p>
    <w:p>
      <w:pPr>
        <w:pStyle w:val="ConsPlusTitle"/>
        <w:jc w:val="center"/>
        <w:rPr/>
      </w:pPr>
      <w:r>
        <w:rPr/>
        <w:t>ФЕДЕРАЛЬНЫЕ ГОСУДАРСТВЕННЫЕ ГРАЖДАНСКИЕ СЛУЖАЩИЕ ОБЯЗАНЫ</w:t>
      </w:r>
    </w:p>
    <w:p>
      <w:pPr>
        <w:pStyle w:val="ConsPlusTitle"/>
        <w:jc w:val="center"/>
        <w:rPr/>
      </w:pPr>
      <w:r>
        <w:rPr/>
        <w:t>ПРЕДСТАВЛЯТЬ СВЕДЕНИЯ О СВОИХ ДОХОДАХ, ОБ ИМУЩЕСТВЕ</w:t>
      </w:r>
    </w:p>
    <w:p>
      <w:pPr>
        <w:pStyle w:val="ConsPlusTitle"/>
        <w:jc w:val="center"/>
        <w:rPr/>
      </w:pPr>
      <w:r>
        <w:rPr/>
        <w:t>И ОБЯЗАТЕЛЬСТВАХ ИМУЩЕСТВЕННОГО ХАРАКТЕРА, А ТАКЖЕ СВЕДЕНИЯ</w:t>
      </w:r>
    </w:p>
    <w:p>
      <w:pPr>
        <w:pStyle w:val="ConsPlusTitle"/>
        <w:jc w:val="center"/>
        <w:rPr/>
      </w:pPr>
      <w:r>
        <w:rPr/>
        <w:t>О ДОХОДАХ, ОБ ИМУЩЕСТВЕ И ОБЯЗАТЕЛЬСТВАХ ИМУЩЕСТВЕННОГО</w:t>
      </w:r>
    </w:p>
    <w:p>
      <w:pPr>
        <w:pStyle w:val="ConsPlusTitle"/>
        <w:jc w:val="center"/>
        <w:rPr/>
      </w:pPr>
      <w:r>
        <w:rPr/>
        <w:t>ХАРАКТЕРА СВОИХ СУПРУГИ (СУПРУГА)</w:t>
      </w:r>
    </w:p>
    <w:p>
      <w:pPr>
        <w:pStyle w:val="ConsPlusTitle"/>
        <w:jc w:val="center"/>
        <w:rPr/>
      </w:pPr>
      <w:r>
        <w:rPr/>
        <w:t>И НЕСОВЕРШЕННОЛЕТНИХ ДЕТЕЙ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 xml:space="preserve">В соответствии со </w:t>
      </w:r>
      <w:hyperlink r:id="rId12">
        <w:r>
          <w:rPr>
            <w:rStyle w:val="Style15"/>
            <w:color w:val="0000FF"/>
          </w:rPr>
          <w:t>статьей 8</w:t>
        </w:r>
      </w:hyperlink>
      <w:r>
        <w:rPr/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13">
        <w:r>
          <w:rPr>
            <w:rStyle w:val="Style15"/>
            <w:color w:val="0000FF"/>
          </w:rPr>
          <w:t>статьей 2</w:t>
        </w:r>
      </w:hyperlink>
      <w:r>
        <w:rPr/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14">
        <w:r>
          <w:rPr>
            <w:rStyle w:val="Style15"/>
            <w:color w:val="0000FF"/>
          </w:rPr>
          <w:t>Указа</w:t>
        </w:r>
      </w:hyperlink>
      <w:r>
        <w:rPr/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15">
        <w:r>
          <w:rPr>
            <w:rStyle w:val="Style15"/>
            <w:color w:val="0000FF"/>
          </w:rPr>
          <w:t>Указа</w:t>
        </w:r>
      </w:hyperlink>
      <w:r>
        <w:rPr/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16">
        <w:r>
          <w:rPr>
            <w:rStyle w:val="Style15"/>
            <w:color w:val="0000FF"/>
          </w:rPr>
          <w:t>Указа</w:t>
        </w:r>
      </w:hyperlink>
      <w:r>
        <w:rPr/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7">
        <w:r>
          <w:rPr>
            <w:rStyle w:val="Style15"/>
            <w:color w:val="0000FF"/>
          </w:rPr>
          <w:t>Указа</w:t>
        </w:r>
      </w:hyperlink>
      <w:r>
        <w:rPr/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 xml:space="preserve">1. Утвердить прилагаемый </w:t>
      </w:r>
      <w:hyperlink w:anchor="Par46">
        <w:r>
          <w:rPr>
            <w:rStyle w:val="Style15"/>
            <w:color w:val="0000FF"/>
          </w:rPr>
          <w:t>перечень</w:t>
        </w:r>
      </w:hyperlink>
      <w:r>
        <w:rPr/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 xml:space="preserve">от 31 августа 2015 г. </w:t>
      </w:r>
      <w:hyperlink r:id="rId18">
        <w:r>
          <w:rPr>
            <w:rStyle w:val="Style15"/>
            <w:color w:val="0000FF"/>
          </w:rPr>
          <w:t>N 103</w:t>
        </w:r>
      </w:hyperlink>
      <w:r>
        <w:rPr/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 xml:space="preserve">от 26 апреля 2016 г. </w:t>
      </w:r>
      <w:hyperlink r:id="rId19">
        <w:r>
          <w:rPr>
            <w:rStyle w:val="Style15"/>
            <w:color w:val="0000FF"/>
          </w:rPr>
          <w:t>N 129</w:t>
        </w:r>
      </w:hyperlink>
      <w:r>
        <w:rPr/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3. Направить настоящий приказ на государственную регистрацию в Министерство юстиции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Руководитель</w:t>
      </w:r>
    </w:p>
    <w:p>
      <w:pPr>
        <w:pStyle w:val="ConsPlusNormal"/>
        <w:jc w:val="right"/>
        <w:rPr/>
      </w:pPr>
      <w:r>
        <w:rPr/>
        <w:t>А.А.ЖАРОВ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приказом Федеральной службы</w:t>
      </w:r>
    </w:p>
    <w:p>
      <w:pPr>
        <w:pStyle w:val="ConsPlusNormal"/>
        <w:jc w:val="right"/>
        <w:rPr/>
      </w:pPr>
      <w:r>
        <w:rPr/>
        <w:t>по надзору в сфере связи,</w:t>
      </w:r>
    </w:p>
    <w:p>
      <w:pPr>
        <w:pStyle w:val="ConsPlusNormal"/>
        <w:jc w:val="right"/>
        <w:rPr/>
      </w:pPr>
      <w:r>
        <w:rPr/>
        <w:t>информационных технологий</w:t>
      </w:r>
    </w:p>
    <w:p>
      <w:pPr>
        <w:pStyle w:val="ConsPlusNormal"/>
        <w:jc w:val="right"/>
        <w:rPr/>
      </w:pPr>
      <w:r>
        <w:rPr/>
        <w:t>и массовых коммуникаций</w:t>
      </w:r>
    </w:p>
    <w:p>
      <w:pPr>
        <w:pStyle w:val="ConsPlusNormal"/>
        <w:jc w:val="right"/>
        <w:rPr/>
      </w:pPr>
      <w:r>
        <w:rPr/>
        <w:t>от 17.03.2017 N 41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3" w:name="Par46"/>
      <w:bookmarkEnd w:id="3"/>
      <w:r>
        <w:rPr/>
        <w:t>ПЕРЕЧЕНЬ</w:t>
      </w:r>
    </w:p>
    <w:p>
      <w:pPr>
        <w:pStyle w:val="ConsPlusTitle"/>
        <w:jc w:val="center"/>
        <w:rPr/>
      </w:pPr>
      <w:r>
        <w:rPr/>
        <w:t>ДОЛЖНОСТЕЙ ФЕДЕРАЛЬНОЙ ГОСУДАРСТВЕННОЙ ГРАЖДАНСКОЙ</w:t>
      </w:r>
    </w:p>
    <w:p>
      <w:pPr>
        <w:pStyle w:val="ConsPlusTitle"/>
        <w:jc w:val="center"/>
        <w:rPr/>
      </w:pPr>
      <w:r>
        <w:rPr/>
        <w:t>СЛУЖБЫ В ФЕДЕРАЛЬНОЙ СЛУЖБЕ ПО НАДЗОРУ В СФЕРЕ СВЯЗИ,</w:t>
      </w:r>
    </w:p>
    <w:p>
      <w:pPr>
        <w:pStyle w:val="ConsPlusTitle"/>
        <w:jc w:val="center"/>
        <w:rPr/>
      </w:pPr>
      <w:r>
        <w:rPr/>
        <w:t>ИНФОРМАЦИОННЫХ ТЕХНОЛОГИЙ И МАССОВЫХ КОММУНИКАЦИЙ</w:t>
      </w:r>
    </w:p>
    <w:p>
      <w:pPr>
        <w:pStyle w:val="ConsPlusTitle"/>
        <w:jc w:val="center"/>
        <w:rPr/>
      </w:pPr>
      <w:r>
        <w:rPr/>
        <w:t>И ЕЕ ТЕРРИТОРИАЛЬНЫХ ОРГАНАХ, ПРИ ЗАМЕЩЕНИИ КОТОРЫХ</w:t>
      </w:r>
    </w:p>
    <w:p>
      <w:pPr>
        <w:pStyle w:val="ConsPlusTitle"/>
        <w:jc w:val="center"/>
        <w:rPr/>
      </w:pPr>
      <w:r>
        <w:rPr/>
        <w:t>ФЕДЕРАЛЬНЫЕ ГОСУДАРСТВЕННЫЕ ГРАЖДАНСКИЕ СЛУЖАЩИЕ ОБЯЗАНЫ</w:t>
      </w:r>
    </w:p>
    <w:p>
      <w:pPr>
        <w:pStyle w:val="ConsPlusTitle"/>
        <w:jc w:val="center"/>
        <w:rPr/>
      </w:pPr>
      <w:r>
        <w:rPr/>
        <w:t>ПРЕДСТАВЛЯТЬ СВЕДЕНИЯ О СВОИХ ДОХОДАХ, ОБ ИМУЩЕСТВЕ</w:t>
      </w:r>
    </w:p>
    <w:p>
      <w:pPr>
        <w:pStyle w:val="ConsPlusTitle"/>
        <w:jc w:val="center"/>
        <w:rPr/>
      </w:pPr>
      <w:r>
        <w:rPr/>
        <w:t>И ОБЯЗАТЕЛЬСТВАХ ИМУЩЕСТВЕННОГО ХАРАКТЕРА, А ТАКЖЕ СВЕДЕНИЯ</w:t>
      </w:r>
    </w:p>
    <w:p>
      <w:pPr>
        <w:pStyle w:val="ConsPlusTitle"/>
        <w:jc w:val="center"/>
        <w:rPr/>
      </w:pPr>
      <w:r>
        <w:rPr/>
        <w:t>О ДОХОДАХ, ОБ ИМУЩЕСТВЕ И ОБЯЗАТЕЛЬСТВАХ ИМУЩЕСТВЕННОГО</w:t>
      </w:r>
    </w:p>
    <w:p>
      <w:pPr>
        <w:pStyle w:val="ConsPlusTitle"/>
        <w:jc w:val="center"/>
        <w:rPr/>
      </w:pPr>
      <w:r>
        <w:rPr/>
        <w:t>ХАРАКТЕРА СВОИХ СУПРУГИ (СУПРУГА)</w:t>
      </w:r>
    </w:p>
    <w:p>
      <w:pPr>
        <w:pStyle w:val="ConsPlusTitle"/>
        <w:jc w:val="center"/>
        <w:rPr/>
      </w:pPr>
      <w:r>
        <w:rPr/>
        <w:t>И НЕСОВЕРШЕННОЛЕТНИХ ДЕТЕЙ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1"/>
        <w:rPr/>
      </w:pPr>
      <w:r>
        <w:rPr/>
        <w:t>1. В центральном аппарате Федеральной службы по надзору</w:t>
      </w:r>
    </w:p>
    <w:p>
      <w:pPr>
        <w:pStyle w:val="ConsPlusNormal"/>
        <w:jc w:val="center"/>
        <w:rPr/>
      </w:pPr>
      <w:r>
        <w:rPr/>
        <w:t>в сфере связи, информационных технологий</w:t>
      </w:r>
    </w:p>
    <w:p>
      <w:pPr>
        <w:pStyle w:val="ConsPlusNormal"/>
        <w:jc w:val="center"/>
        <w:rPr/>
      </w:pPr>
      <w:r>
        <w:rPr/>
        <w:t>и массовых коммуникаций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Начальник управления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Начальник управления - главный бухгалтер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Заместитель начальника управления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Заместитель начальника управления - начальник отдела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Начальник отдела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Заместитель начальника отдела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Помощник руководителя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АДМИНИСТРАТИВНОЕ УПРАВЛЕНИЕ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государственных закупок и обеспечения</w:t>
      </w:r>
    </w:p>
    <w:p>
      <w:pPr>
        <w:pStyle w:val="ConsPlusNormal"/>
        <w:jc w:val="center"/>
        <w:rPr/>
      </w:pPr>
      <w:r>
        <w:rPr/>
        <w:t>контрактной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Специалист 1 разряда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материально-технического обеспечения</w:t>
      </w:r>
    </w:p>
    <w:p>
      <w:pPr>
        <w:pStyle w:val="ConsPlusNormal"/>
        <w:jc w:val="center"/>
        <w:rPr/>
      </w:pPr>
      <w:r>
        <w:rPr/>
        <w:t>и специальной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 3 разряда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документооборота, архива, контроля и работы</w:t>
      </w:r>
    </w:p>
    <w:p>
      <w:pPr>
        <w:pStyle w:val="ConsPlusNormal"/>
        <w:jc w:val="center"/>
        <w:rPr/>
      </w:pPr>
      <w:r>
        <w:rPr/>
        <w:t>с обращениями граждан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Старший специалист 1 разряда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Старший специалист 2 разряда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Старший специалист 3 разряда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УПРАВЛЕНИЕ ОРГАНИЗАЦИОННОЙ РАБОТЫ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планирования, контроля и отчетности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организационной и инспекционной работы</w:t>
      </w:r>
    </w:p>
    <w:p>
      <w:pPr>
        <w:pStyle w:val="ConsPlusNormal"/>
        <w:jc w:val="center"/>
        <w:rPr/>
      </w:pPr>
      <w:r>
        <w:rPr/>
        <w:t>территориальных органов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Советник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государственной службы и кадров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Советник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УПРАВЛЕНИЕ РАЗРЕШИТЕЛЬНОЙ РАБОТЫ, КОНТРОЛЯ И НАДЗОРА</w:t>
      </w:r>
    </w:p>
    <w:p>
      <w:pPr>
        <w:pStyle w:val="ConsPlusNormal"/>
        <w:jc w:val="center"/>
        <w:rPr/>
      </w:pPr>
      <w:r>
        <w:rPr/>
        <w:t>В СФЕРЕ МАССОВЫХ КОММУНИКАЦИЙ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регистрации средств массовой информации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лицензирования деятельности в сфере</w:t>
      </w:r>
    </w:p>
    <w:p>
      <w:pPr>
        <w:pStyle w:val="ConsPlusNormal"/>
        <w:jc w:val="center"/>
        <w:rPr/>
      </w:pPr>
      <w:r>
        <w:rPr/>
        <w:t>массовых коммуникаций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Советник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ведения реестров в сфере массовых коммуникаций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по надзору за соблюдением законодательства в сфере</w:t>
      </w:r>
    </w:p>
    <w:p>
      <w:pPr>
        <w:pStyle w:val="ConsPlusNormal"/>
        <w:jc w:val="center"/>
        <w:rPr/>
      </w:pPr>
      <w:r>
        <w:rPr/>
        <w:t>массовых коммуникаций, телевизионного и радиовещания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Главный государственный инспектор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по экспертно-аналитической работе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Советник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Старший государственный инспектор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планирования и работы с территориальными управлениями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Государственный инспектор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УПРАВЛЕНИЕ КОНТРОЛЯ И НАДЗОРА В СФЕРЕ</w:t>
      </w:r>
    </w:p>
    <w:p>
      <w:pPr>
        <w:pStyle w:val="ConsPlusNormal"/>
        <w:jc w:val="center"/>
        <w:rPr/>
      </w:pPr>
      <w:r>
        <w:rPr/>
        <w:t>ЭЛЕКТРОННЫХ КОММУНИКАЦИЙ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по работе с обращениями граждан</w:t>
      </w:r>
    </w:p>
    <w:p>
      <w:pPr>
        <w:pStyle w:val="ConsPlusNormal"/>
        <w:jc w:val="center"/>
        <w:rPr/>
      </w:pPr>
      <w:r>
        <w:rPr/>
        <w:t>и государственных органов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государственный инспектор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экспертно-аналитической работы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по работе с информационными системами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УПРАВЛЕНИЕ РАЗРЕШИТЕЛЬНОЙ РАБОТЫ 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лицензирования деятельности 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присвоения радиочастот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 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анализа и экспертизы 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ведения реестров присвоений радиочастот и лицензий</w:t>
      </w:r>
    </w:p>
    <w:p>
      <w:pPr>
        <w:pStyle w:val="ConsPlusNormal"/>
        <w:jc w:val="center"/>
        <w:rPr/>
      </w:pPr>
      <w:r>
        <w:rPr/>
        <w:t>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УПРАВЛЕНИЕ КОНТРОЛЯ И НАДЗОРА 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организации мониторинга и анализа состояния</w:t>
      </w:r>
    </w:p>
    <w:p>
      <w:pPr>
        <w:pStyle w:val="ConsPlusNormal"/>
        <w:jc w:val="center"/>
        <w:rPr/>
      </w:pPr>
      <w:r>
        <w:rPr/>
        <w:t>сетей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организации контроля и надзора 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организации контроля и надзора за использованием</w:t>
      </w:r>
    </w:p>
    <w:p>
      <w:pPr>
        <w:pStyle w:val="ConsPlusNormal"/>
        <w:jc w:val="center"/>
        <w:rPr/>
      </w:pPr>
      <w:r>
        <w:rPr/>
        <w:t>радиочастотного спектра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организации регистрационной деятельности</w:t>
      </w:r>
    </w:p>
    <w:p>
      <w:pPr>
        <w:pStyle w:val="ConsPlusNormal"/>
        <w:jc w:val="center"/>
        <w:rPr/>
      </w:pPr>
      <w:r>
        <w:rPr/>
        <w:t>в сфере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организации обеспечения недискриминационного доступа</w:t>
      </w:r>
    </w:p>
    <w:p>
      <w:pPr>
        <w:pStyle w:val="ConsPlusNormal"/>
        <w:jc w:val="center"/>
        <w:rPr/>
      </w:pPr>
      <w:r>
        <w:rPr/>
        <w:t>к сетям связи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УПРАВЛЕНИЕ ПО ЗАЩИТЕ ПРАВ СУБЪЕКТОВ ПЕРСОНАЛЬНЫХ ДАННЫХ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организации контроля и надзора за соответствием</w:t>
      </w:r>
    </w:p>
    <w:p>
      <w:pPr>
        <w:pStyle w:val="ConsPlusNormal"/>
        <w:jc w:val="center"/>
        <w:rPr/>
      </w:pPr>
      <w:r>
        <w:rPr/>
        <w:t>обработки персональных данных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Советник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Главный государственный инспектор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Старший государственный инспектор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правового и методического обеспечения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Советник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ПРАВОВОЕ УПРАВЛЕНИЕ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правового обеспечения административной деятельности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Ведущий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ФИНАНСОВОЕ УПРАВЛЕНИЕ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бюджетного планирования и финансов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Ведущий специалист 3 разряда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3"/>
        <w:rPr/>
      </w:pPr>
      <w:r>
        <w:rPr/>
        <w:t>Отдел бухгалтерского учета и отчетности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Консультант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2"/>
        <w:rPr/>
      </w:pPr>
      <w:r>
        <w:rPr/>
        <w:t>ОТДЕЛ ПО ЗАЩИТЕ ГОСУДАРСТВЕННОЙ ТАЙНЫ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Главный специалист-эксперт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720"/>
        <w:jc w:val="center"/>
        <w:outlineLvl w:val="1"/>
        <w:rPr/>
      </w:pPr>
      <w:r>
        <w:rPr/>
        <w:t>2. В территориальных органах Федеральной службы по надзору</w:t>
      </w:r>
    </w:p>
    <w:p>
      <w:pPr>
        <w:pStyle w:val="ConsPlusNormal"/>
        <w:jc w:val="center"/>
        <w:rPr/>
      </w:pPr>
      <w:r>
        <w:rPr/>
        <w:t>в сфере связи, информационных технологий</w:t>
      </w:r>
    </w:p>
    <w:p>
      <w:pPr>
        <w:pStyle w:val="ConsPlusNormal"/>
        <w:jc w:val="center"/>
        <w:rPr/>
      </w:pPr>
      <w:r>
        <w:rPr/>
        <w:t>и массовых коммуникаций: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Руководитель территориального органа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Заместитель руководителя территориального органа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Заместитель руководителя территориального органа - начальник отдела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Начальник отдела территориального органа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Заместитель начальника отдела территориального органа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Помощник руководителя территориального органа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Должности, замещение которых предполагает исполнение обязанностей главного бухгалтера, заместителя главного бухгалтера;</w:t>
      </w:r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Консультант;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Главный специалист-эксперт;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Ведущий специалист-эксперт;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Специалист-эксперт;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Старший специалист 1 разряда;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Старший специалист 2 разряда;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Старший специалист 3 разряда;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Специалист 1 разряда;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Специалист 2 разряда;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spacing w:before="200" w:after="0"/>
        <w:ind w:left="0" w:right="0" w:firstLine="540"/>
        <w:jc w:val="both"/>
        <w:rPr>
          <w:rStyle w:val="Style15"/>
          <w:color w:val="0000FF"/>
        </w:rPr>
      </w:pPr>
      <w:r>
        <w:rPr/>
        <w:t xml:space="preserve">Специалист 3 разряда. </w:t>
      </w:r>
      <w:hyperlink w:anchor="Par269">
        <w:r>
          <w:rPr>
            <w:rStyle w:val="Style15"/>
            <w:color w:val="0000FF"/>
          </w:rPr>
          <w:t>&lt;*&gt;</w:t>
        </w:r>
      </w:hyperlink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Примечание:</w:t>
      </w:r>
    </w:p>
    <w:p>
      <w:pPr>
        <w:pStyle w:val="ConsPlusNormal"/>
        <w:spacing w:before="200" w:after="0"/>
        <w:ind w:left="0" w:right="0" w:firstLine="540"/>
        <w:jc w:val="both"/>
        <w:rPr/>
      </w:pPr>
      <w:bookmarkStart w:id="4" w:name="Par269"/>
      <w:bookmarkEnd w:id="4"/>
      <w:r>
        <w:rPr/>
        <w:t>&lt;*&gt; Должности, исполнение должностных обязанностей по которым предусматривает: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предоставление государственных услуг гражданам и организациям;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осуществление контрольных и надзорных мероприятий;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управление государственным имуществом;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осуществление государственных закупок либо выдачу лицензий и разрешений;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хранение и распределение материально-технических ресурсов.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ind w:left="0" w:right="0" w:hanging="0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nsPlusNormal"/>
      <w:pBdr>
        <w:top w:val="nil"/>
        <w:left w:val="nil"/>
        <w:bottom w:val="single" w:sz="12" w:space="0" w:color="00000A"/>
        <w:right w:val="nil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207" w:type="dxa"/>
      <w:jc w:val="left"/>
      <w:tblInd w:w="4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40" w:type="dxa"/>
        <w:bottom w:w="0" w:type="dxa"/>
        <w:right w:w="40" w:type="dxa"/>
      </w:tblCellMar>
    </w:tblPr>
    <w:tblGrid>
      <w:gridCol w:w="3332"/>
      <w:gridCol w:w="3541"/>
      <w:gridCol w:w="3334"/>
    </w:tblGrid>
    <w:tr>
      <w:trPr>
        <w:trHeight w:val="1663" w:hRule="exact"/>
        <w:cantSplit w:val="false"/>
      </w:trPr>
      <w:tc>
        <w:tcPr>
          <w:tcW w:w="3332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ConsPlusNormal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4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ConsPlusNormal"/>
            <w:jc w:val="center"/>
            <w:rPr>
              <w:rStyle w:val="Style15"/>
              <w:b/>
              <w:bCs/>
              <w:color w:val="0000FF"/>
            </w:rPr>
          </w:pPr>
          <w:hyperlink r:id="rId1">
            <w:r>
              <w:rPr>
                <w:rStyle w:val="Style15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3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/>
            <w:t>Страница 27 из 33</w:t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pBdr>
        <w:top w:val="nil"/>
        <w:left w:val="nil"/>
        <w:bottom w:val="nil"/>
        <w:right w:val="nil"/>
      </w:pBdr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instrText> PAGE </w:instrText>
    </w:r>
    <w:r>
      <w:fldChar w:fldCharType="separate"/>
    </w:r>
    <w:r>
      <w:t>26</w:t>
    </w:r>
    <w:r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pBdr>
        <w:top w:val="nil"/>
        <w:left w:val="nil"/>
        <w:bottom w:val="nil"/>
        <w:right w:val="nil"/>
      </w:pBdr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instrText> PAGE </w:instrText>
    </w:r>
    <w:r>
      <w:fldChar w:fldCharType="separate"/>
    </w:r>
    <w:r>
      <w:t>26</w:t>
    </w:r>
    <w:r>
      <w:fldChar w:fldCharType="end"/>
    </w:r>
  </w:p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pBdr>
        <w:top w:val="nil"/>
        <w:left w:val="nil"/>
        <w:bottom w:val="nil"/>
        <w:right w:val="nil"/>
      </w:pBdr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10207" w:type="dxa"/>
      <w:jc w:val="left"/>
      <w:tblInd w:w="4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40" w:type="dxa"/>
        <w:bottom w:w="0" w:type="dxa"/>
        <w:right w:w="40" w:type="dxa"/>
      </w:tblCellMar>
    </w:tblPr>
    <w:tblGrid>
      <w:gridCol w:w="5623"/>
      <w:gridCol w:w="416"/>
      <w:gridCol w:w="4168"/>
    </w:tblGrid>
    <w:tr>
      <w:trPr>
        <w:trHeight w:val="1683" w:hRule="exact"/>
        <w:cantSplit w:val="false"/>
      </w:trPr>
      <w:tc>
        <w:tcPr>
          <w:tcW w:w="562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17.03.2017 N 41</w:t>
            <w:br/>
            <w:t>"Об утверждении перечня должностей федеральной государственной гражданской служб...</w:t>
          </w:r>
        </w:p>
      </w:tc>
      <w:tc>
        <w:tcPr>
          <w:tcW w:w="41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ConsPlus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  <w:p>
          <w:pPr>
            <w:pStyle w:val="ConsPlus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16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Style w:val="Style15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>
    <w:pPr>
      <w:pStyle w:val="ConsPlusNormal"/>
      <w:pBdr>
        <w:top w:val="nil"/>
        <w:left w:val="nil"/>
        <w:bottom w:val="single" w:sz="12" w:space="0" w:color="00000A"/>
        <w:right w:val="nil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7728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d42dad"/>
    <w:basedOn w:val="DefaultParagraphFont"/>
    <w:rPr/>
  </w:style>
  <w:style w:type="character" w:styleId="Pagenumber">
    <w:name w:val="page number"/>
    <w:rsid w:val="00b1396c"/>
    <w:basedOn w:val="DefaultParagraphFont"/>
    <w:rPr/>
  </w:style>
  <w:style w:type="character" w:styleId="Style14" w:customStyle="1">
    <w:name w:val="Нижний колонтитул Знак"/>
    <w:link w:val="a9"/>
    <w:rsid w:val="00ad453f"/>
    <w:basedOn w:val="DefaultParagraphFont"/>
    <w:rPr>
      <w:sz w:val="24"/>
      <w:szCs w:val="24"/>
    </w:rPr>
  </w:style>
  <w:style w:type="character" w:styleId="ListLabel1">
    <w:name w:val="ListLabel 1"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rsid w:val="0077283a"/>
    <w:basedOn w:val="Normal"/>
    <w:pPr>
      <w:spacing w:before="0" w:after="280"/>
    </w:pPr>
    <w:rPr/>
  </w:style>
  <w:style w:type="paragraph" w:styleId="ConsPlusNormal" w:customStyle="1">
    <w:name w:val="ConsPlusNormal"/>
    <w:rsid w:val="0077283a"/>
    <w:pPr>
      <w:widowControl/>
      <w:suppressAutoHyphens w:val="true"/>
      <w:bidi w:val="0"/>
      <w:ind w:left="0" w:right="0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Style21">
    <w:name w:val="Верхний колонтитул"/>
    <w:rsid w:val="00b1396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semiHidden/>
    <w:rsid w:val="00cd0712"/>
    <w:basedOn w:val="Normal"/>
    <w:pPr/>
    <w:rPr>
      <w:rFonts w:ascii="Tahoma" w:hAnsi="Tahoma" w:cs="Tahoma"/>
      <w:sz w:val="16"/>
      <w:szCs w:val="16"/>
    </w:rPr>
  </w:style>
  <w:style w:type="paragraph" w:styleId="DocumentMap">
    <w:name w:val="Document Map"/>
    <w:semiHidden/>
    <w:rsid w:val="003b57f1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uiPriority w:val="99"/>
    <w:rsid w:val="00e15c7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ru-RU" w:bidi="ar-SA"/>
    </w:rPr>
  </w:style>
  <w:style w:type="paragraph" w:styleId="Style22">
    <w:name w:val="Нижний колонтитул"/>
    <w:link w:val="aa"/>
    <w:rsid w:val="00ad453f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617a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5.wmf"/><Relationship Id="rId3" Type="http://schemas.openxmlformats.org/officeDocument/2006/relationships/header" Target="header1.xml"/><Relationship Id="rId4" Type="http://schemas.openxmlformats.org/officeDocument/2006/relationships/hyperlink" Target="consultantplus://offline/ref=44EB2926CBF88E9432030CB4AFB4B67A696B4C9EBA99BD7514B160186E99E4A3F010543D032C557Fo00BL" TargetMode="External"/><Relationship Id="rId5" Type="http://schemas.openxmlformats.org/officeDocument/2006/relationships/hyperlink" Target="consultantplus://offline/ref=44EB2926CBF88E9432030CB4AFB4B67A696B4F9AB895BD7514B160186E99E4A3F010543Fo000L" TargetMode="External"/><Relationship Id="rId6" Type="http://schemas.openxmlformats.org/officeDocument/2006/relationships/hyperlink" Target="consultantplus://offline/ref=44EB2926CBF88E9432030CB4AFB4B67A6A6B4B9AB79CBD7514B160186Eo909L" TargetMode="External"/><Relationship Id="rId7" Type="http://schemas.openxmlformats.org/officeDocument/2006/relationships/hyperlink" Target="consultantplus://offline/ref=44EB2926CBF88E9432030CB4AFB4B67A696B4C9EBA99BD7514B160186E99E4A3F010543D032C557Fo00BL" TargetMode="External"/><Relationship Id="rId8" Type="http://schemas.openxmlformats.org/officeDocument/2006/relationships/hyperlink" Target="consultantplus://offline/ref=44EB2926CBF88E9432030CB4AFB4B67A6A6B4D98B79FBD7514B160186E99E4A3F010543D032C557Fo009L" TargetMode="Externa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yperlink" Target="" TargetMode="External"/><Relationship Id="rId13" Type="http://schemas.openxmlformats.org/officeDocument/2006/relationships/hyperlink" Target="consultantplus://offline/ref=7023BE5DA277BCEA88376106BC348E3022794ED784AB53C98094A293FE6286D86E8FE8DCE859B1C6x8W4J" TargetMode="External"/><Relationship Id="rId14" Type="http://schemas.openxmlformats.org/officeDocument/2006/relationships/hyperlink" Target="consultantplus://offline/ref=7023BE5DA277BCEA88376106BC348E3021704ED38AAF53C98094A293FE6286D86E8FE8DCE859B1C7x8WFJ" TargetMode="External"/><Relationship Id="rId15" Type="http://schemas.openxmlformats.org/officeDocument/2006/relationships/hyperlink" Target="consultantplus://offline/ref=7023BE5DA277BCEA88376106BC348E30227742D28AAA53C98094A293FE6286D86E8FE8DCE859B1C2x8WFJ" TargetMode="External"/><Relationship Id="rId16" Type="http://schemas.openxmlformats.org/officeDocument/2006/relationships/hyperlink" Target="consultantplus://offline/ref=7023BE5DA277BCEA88376106BC348E30227742D185A753C98094A293FEx6W2J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consultantplus://offline/ref=7023BE5DA277BCEA88376106BC348E3022784ED184AC53C98094A293FEx6W2J" TargetMode="External"/><Relationship Id="rId19" Type="http://schemas.openxmlformats.org/officeDocument/2006/relationships/hyperlink" Target="consultantplus://offline/ref=7023BE5DA277BCEA88376106BC348E3022784ED08AA753C98094A293FEx6W2J" TargetMode="External"/><Relationship Id="rId20" Type="http://schemas.openxmlformats.org/officeDocument/2006/relationships/header" Target="header4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E862-837C-42B5-8EC4-4139909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2018-11-27T07:51:00Z</dcterms:created>
  <dc:creator>Администратор</dc:creator>
  <dc:language>ru-RU</dc:language>
  <cp:lastModifiedBy>User</cp:lastModifiedBy>
  <cp:lastPrinted>2016-02-01T11:01:00Z</cp:lastPrinted>
  <dcterms:modified xsi:type="dcterms:W3CDTF">2018-11-27T07:51:00Z</dcterms:modified>
  <cp:revision>2</cp:revision>
  <dc:title>ПАМЯТКА</dc:title>
</cp:coreProperties>
</file>